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FD4993" w14:textId="77777777" w:rsidR="00FD4C40" w:rsidRDefault="00000000">
      <w:pPr>
        <w:spacing w:before="3200"/>
        <w:jc w:val="center"/>
      </w:pPr>
      <w:r>
        <w:rPr>
          <w:b/>
          <w:bCs/>
          <w:sz w:val="32"/>
          <w:szCs w:val="32"/>
        </w:rPr>
        <w:t>ТЕНДЕРНАЯ ДОКУМЕНТАЦИЯ</w:t>
      </w:r>
    </w:p>
    <w:p w14:paraId="7EFC62B7" w14:textId="77777777" w:rsidR="00FD4C40" w:rsidRDefault="00000000">
      <w:pPr>
        <w:spacing w:before="240"/>
        <w:jc w:val="center"/>
      </w:pPr>
      <w:r>
        <w:rPr>
          <w:sz w:val="24"/>
          <w:szCs w:val="24"/>
        </w:rPr>
        <w:t>на получение коммерческих предложений по созданию и внедрению слоя оркестрации API-сервисов</w:t>
      </w:r>
    </w:p>
    <w:p w14:paraId="33641046" w14:textId="77777777" w:rsidR="00FD4C40" w:rsidRDefault="00000000">
      <w:pPr>
        <w:spacing w:before="120"/>
        <w:jc w:val="center"/>
      </w:pPr>
      <w:r>
        <w:rPr>
          <w:i/>
          <w:iCs/>
          <w:sz w:val="24"/>
          <w:szCs w:val="24"/>
        </w:rPr>
        <w:t>API Management (APIM) &amp; iPaaS — Hybrid Integration Platform, on-premise развёртывание</w:t>
      </w:r>
    </w:p>
    <w:p w14:paraId="20D128C5" w14:textId="77777777" w:rsidR="00FD4C40" w:rsidRDefault="00000000">
      <w:pPr>
        <w:spacing w:before="480"/>
        <w:jc w:val="center"/>
      </w:pPr>
      <w:r>
        <w:rPr>
          <w:i/>
          <w:iCs/>
        </w:rPr>
        <w:t>Инициатор: Департамент информационных технологий</w:t>
      </w:r>
    </w:p>
    <w:p w14:paraId="1315D128" w14:textId="77777777" w:rsidR="00FD4C40" w:rsidRDefault="00000000">
      <w:r>
        <w:br w:type="page"/>
      </w:r>
    </w:p>
    <w:p w14:paraId="470598DD" w14:textId="77777777" w:rsidR="00FD4C40" w:rsidRDefault="00000000">
      <w:pPr>
        <w:pStyle w:val="1"/>
        <w:spacing w:before="240" w:after="160"/>
      </w:pPr>
      <w:r>
        <w:rPr>
          <w:b/>
          <w:bCs/>
          <w:color w:val="000000"/>
          <w:sz w:val="26"/>
          <w:szCs w:val="26"/>
        </w:rPr>
        <w:lastRenderedPageBreak/>
        <w:t>1. Описание общих сведений о предмете тендера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400"/>
      </w:tblGrid>
      <w:tr w:rsidR="00FD4C40" w14:paraId="35B73603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62C01" w14:textId="77777777" w:rsidR="00FD4C40" w:rsidRDefault="00000000">
            <w:r>
              <w:rPr>
                <w:b/>
                <w:bCs/>
                <w:sz w:val="22"/>
                <w:szCs w:val="22"/>
              </w:rPr>
              <w:t>Заказчик: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2F46A" w14:textId="77777777" w:rsidR="00FD4C40" w:rsidRDefault="00000000">
            <w:r>
              <w:rPr>
                <w:sz w:val="22"/>
                <w:szCs w:val="22"/>
              </w:rPr>
              <w:t>ОАО «Банк Эсхата»</w:t>
            </w:r>
          </w:p>
        </w:tc>
      </w:tr>
      <w:tr w:rsidR="00FD4C40" w14:paraId="73F5A2C6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FF113" w14:textId="77777777" w:rsidR="00FD4C40" w:rsidRDefault="00000000">
            <w:r>
              <w:rPr>
                <w:b/>
                <w:bCs/>
                <w:sz w:val="22"/>
                <w:szCs w:val="22"/>
              </w:rPr>
              <w:t>Общая информация о банке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03388" w14:textId="77777777" w:rsidR="00FD4C40" w:rsidRDefault="00000000">
            <w:r>
              <w:rPr>
                <w:sz w:val="22"/>
                <w:szCs w:val="22"/>
              </w:rPr>
              <w:t>ОАО «Банк Эсхата» — один из крупнейших участников рынка банковских услуг Таджикистана. Банк активно растёт: увеличивается количество продуктов, клиентов, каналов и партнёрских инициатив, что требует более гибкой, масштабируемой и управляемой IT-основы.</w:t>
            </w:r>
          </w:p>
        </w:tc>
      </w:tr>
      <w:tr w:rsidR="00FD4C40" w14:paraId="3E74A9A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272E0" w14:textId="77777777" w:rsidR="00FD4C40" w:rsidRDefault="00000000">
            <w:r>
              <w:rPr>
                <w:b/>
                <w:bCs/>
                <w:sz w:val="22"/>
                <w:szCs w:val="22"/>
              </w:rPr>
              <w:t>Предмет Тендера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DD943" w14:textId="77777777" w:rsidR="00FD4C40" w:rsidRDefault="00000000">
            <w:r>
              <w:rPr>
                <w:sz w:val="22"/>
                <w:szCs w:val="22"/>
              </w:rPr>
              <w:t>Выбор исполнителя по созданию и внедрению слоя оркестрации API-сервисов — платформы класса Hybrid Integration (API Management &amp; iPaaS) — с обязательным on-premise развёртыванием в контуре Банка, передачей экспертизы и построением внутреннего центра компетенций. Требования изложены в Техническом задании — Приложение №2.</w:t>
            </w:r>
          </w:p>
        </w:tc>
      </w:tr>
      <w:tr w:rsidR="00FD4C40" w14:paraId="5D55EF86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DE628" w14:textId="77777777" w:rsidR="00FD4C40" w:rsidRDefault="00000000">
            <w:r>
              <w:rPr>
                <w:b/>
                <w:bCs/>
                <w:sz w:val="22"/>
                <w:szCs w:val="22"/>
              </w:rPr>
              <w:t>Срок и условия договора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3489F" w14:textId="77777777" w:rsidR="00FD4C40" w:rsidRDefault="00000000">
            <w:r>
              <w:rPr>
                <w:sz w:val="22"/>
                <w:szCs w:val="22"/>
              </w:rPr>
              <w:t>Договор заключается на срок реализации проекта поэтапного внедрения (Этапы 1–4, ориентировочно 12 месяцев, включая период вендорской поддержки) с даты его подписания. По соглашению сторон договор может быть продлён на последующий период на аналогичных или пересмотренных условиях.</w:t>
            </w:r>
          </w:p>
        </w:tc>
      </w:tr>
      <w:tr w:rsidR="00FD4C40" w14:paraId="611387A7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2D9F2" w14:textId="77777777" w:rsidR="00FD4C40" w:rsidRDefault="00000000">
            <w:r>
              <w:rPr>
                <w:b/>
                <w:bCs/>
                <w:sz w:val="22"/>
                <w:szCs w:val="22"/>
              </w:rPr>
              <w:t>Способ проведения тендера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FF2D3" w14:textId="77777777" w:rsidR="00FD4C40" w:rsidRDefault="00000000">
            <w:r>
              <w:rPr>
                <w:sz w:val="22"/>
                <w:szCs w:val="22"/>
              </w:rPr>
              <w:t>Открытый</w:t>
            </w:r>
          </w:p>
        </w:tc>
      </w:tr>
      <w:tr w:rsidR="00FD4C40" w14:paraId="5A35FCA2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480D4D" w14:textId="77777777" w:rsidR="00FD4C40" w:rsidRDefault="00000000">
            <w:r>
              <w:rPr>
                <w:b/>
                <w:bCs/>
                <w:sz w:val="22"/>
                <w:szCs w:val="22"/>
              </w:rPr>
              <w:t>Условия оказания услуг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331192" w14:textId="77777777" w:rsidR="00FD4C40" w:rsidRDefault="00000000">
            <w:r>
              <w:rPr>
                <w:sz w:val="22"/>
                <w:szCs w:val="22"/>
              </w:rPr>
              <w:t>Оказание услуг по созданию и внедрению платформы осуществляется в контуре Заказчика: г. Худжанд, головной офис, а также иные объекты инфраструктуры Банка по согласованию сторон, в соответствии с этапами реализации проекта (раздел 7 Технического задания)</w:t>
            </w:r>
          </w:p>
        </w:tc>
      </w:tr>
      <w:tr w:rsidR="00FD4C40" w14:paraId="72685329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9B096" w14:textId="77777777" w:rsidR="00FD4C40" w:rsidRDefault="00000000">
            <w:r>
              <w:rPr>
                <w:b/>
                <w:bCs/>
                <w:sz w:val="22"/>
                <w:szCs w:val="22"/>
              </w:rPr>
              <w:t>Дата объявления Тендера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84D40" w14:textId="4A89B06E" w:rsidR="00FD4C40" w:rsidRDefault="006342F4">
            <w:r>
              <w:rPr>
                <w:i/>
                <w:iCs/>
                <w:sz w:val="22"/>
                <w:szCs w:val="22"/>
              </w:rPr>
              <w:t>2</w:t>
            </w:r>
            <w:r w:rsidR="00000000">
              <w:rPr>
                <w:i/>
                <w:iCs/>
                <w:sz w:val="22"/>
                <w:szCs w:val="22"/>
              </w:rPr>
              <w:t>1 сентября 2026 г.</w:t>
            </w:r>
          </w:p>
        </w:tc>
      </w:tr>
      <w:tr w:rsidR="00FD4C40" w14:paraId="38D66801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2D9A" w14:textId="77777777" w:rsidR="00FD4C40" w:rsidRDefault="00000000">
            <w:r>
              <w:rPr>
                <w:b/>
                <w:bCs/>
                <w:sz w:val="22"/>
                <w:szCs w:val="22"/>
              </w:rPr>
              <w:t>Дата окончания подачи предложений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14165" w14:textId="4C6E3BCA" w:rsidR="00FD4C40" w:rsidRDefault="00000000">
            <w:r>
              <w:rPr>
                <w:i/>
                <w:iCs/>
                <w:sz w:val="22"/>
                <w:szCs w:val="22"/>
              </w:rPr>
              <w:t>1</w:t>
            </w:r>
            <w:r w:rsidR="006342F4">
              <w:rPr>
                <w:i/>
                <w:iCs/>
                <w:sz w:val="22"/>
                <w:szCs w:val="22"/>
              </w:rPr>
              <w:t>2</w:t>
            </w:r>
            <w:r>
              <w:rPr>
                <w:i/>
                <w:iCs/>
                <w:sz w:val="22"/>
                <w:szCs w:val="22"/>
              </w:rPr>
              <w:t xml:space="preserve"> октября 2026 г. (включительно)</w:t>
            </w:r>
          </w:p>
        </w:tc>
      </w:tr>
      <w:tr w:rsidR="00FD4C40" w14:paraId="015D653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0BD91" w14:textId="77777777" w:rsidR="00FD4C40" w:rsidRDefault="00000000">
            <w:r>
              <w:rPr>
                <w:b/>
                <w:bCs/>
                <w:sz w:val="22"/>
                <w:szCs w:val="22"/>
              </w:rPr>
              <w:t>Дата подведения итогов Тендера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516ED" w14:textId="77777777" w:rsidR="00FD4C40" w:rsidRDefault="00000000">
            <w:r>
              <w:rPr>
                <w:sz w:val="22"/>
                <w:szCs w:val="22"/>
              </w:rPr>
              <w:t>При получении недостаточного количества заявок, или в случае несоответствия заявок участников Тендера требованиям Банка, Банк имеет право продлить срок Тендера, соответственно будут продлены сроки подведения итогов Тендера</w:t>
            </w:r>
          </w:p>
        </w:tc>
      </w:tr>
      <w:tr w:rsidR="00FD4C40" w14:paraId="6C9A6BE4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147D2" w14:textId="77777777" w:rsidR="00FD4C40" w:rsidRDefault="00000000">
            <w:r>
              <w:rPr>
                <w:b/>
                <w:bCs/>
                <w:sz w:val="22"/>
                <w:szCs w:val="22"/>
              </w:rPr>
              <w:t>Место проведения Тендера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D36C2" w14:textId="77777777" w:rsidR="00FD4C40" w:rsidRDefault="00000000">
            <w:r>
              <w:rPr>
                <w:sz w:val="22"/>
                <w:szCs w:val="22"/>
              </w:rPr>
              <w:t>Республика Таджикистан, г. Худжанд, ул. Гагарина 135</w:t>
            </w:r>
          </w:p>
        </w:tc>
      </w:tr>
      <w:tr w:rsidR="00FD4C40" w14:paraId="42FD04EF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A0B9A" w14:textId="77777777" w:rsidR="00FD4C40" w:rsidRDefault="00000000">
            <w:r>
              <w:rPr>
                <w:b/>
                <w:bCs/>
                <w:sz w:val="22"/>
                <w:szCs w:val="22"/>
              </w:rPr>
              <w:t>Место приема заявок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C03DD" w14:textId="77777777" w:rsidR="00FD4C40" w:rsidRDefault="00000000">
            <w:r>
              <w:rPr>
                <w:sz w:val="22"/>
                <w:szCs w:val="22"/>
              </w:rPr>
              <w:t>Заявки на участие в Тендере будут приниматься по электронной почте Секретарем Тендерной комиссии ОАО «Банк Эсхата», телефон: +992 (44) 600 0 600, адрес электронной почты: tender@eskhata.com, или почтовым сообщением по адресу: Республика Таджикистан, г. Худжанд, ул. Гагарина 135</w:t>
            </w:r>
          </w:p>
        </w:tc>
      </w:tr>
      <w:tr w:rsidR="00FD4C40" w14:paraId="0FC4EBB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321E2" w14:textId="77777777" w:rsidR="00FD4C40" w:rsidRDefault="00000000">
            <w:r>
              <w:rPr>
                <w:b/>
                <w:bCs/>
                <w:sz w:val="22"/>
                <w:szCs w:val="22"/>
              </w:rPr>
              <w:t>Контактное лицо для получения технических разъяснений по Техническому заданию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7CBDF" w14:textId="77777777" w:rsidR="00FD4C40" w:rsidRDefault="00000000">
            <w:r>
              <w:rPr>
                <w:sz w:val="22"/>
                <w:szCs w:val="22"/>
              </w:rPr>
              <w:t>Уполномоченный представитель Департамента информационных технологий ОАО «Банк Эсхата», телефон: +992 (44) 600 0 600, адрес электронной почты: tender@eskhata.com (с пометкой «Вопрос по ТЗ — APIM/iPaaS»). Разъяснения по содержательным техническим вопросам предоставляются отдельно от приёма заявок Секретарем Тендерной комиссии.</w:t>
            </w:r>
          </w:p>
        </w:tc>
      </w:tr>
    </w:tbl>
    <w:p w14:paraId="1093FD83" w14:textId="77777777" w:rsidR="00FD4C40" w:rsidRDefault="00FD4C40">
      <w:pPr>
        <w:spacing w:after="120"/>
      </w:pPr>
    </w:p>
    <w:p w14:paraId="1871543F" w14:textId="77777777" w:rsidR="00FD4C40" w:rsidRDefault="00000000">
      <w:pPr>
        <w:pStyle w:val="1"/>
        <w:spacing w:before="240" w:after="160"/>
      </w:pPr>
      <w:r>
        <w:rPr>
          <w:b/>
          <w:bCs/>
          <w:color w:val="000000"/>
          <w:sz w:val="26"/>
          <w:szCs w:val="26"/>
        </w:rPr>
        <w:lastRenderedPageBreak/>
        <w:t>2. Порядок подачи заявок для участия в Тендере</w:t>
      </w:r>
    </w:p>
    <w:p w14:paraId="4EB9BD91" w14:textId="77777777" w:rsidR="00FD4C40" w:rsidRDefault="00000000">
      <w:pPr>
        <w:spacing w:after="120"/>
      </w:pPr>
      <w:r>
        <w:rPr>
          <w:sz w:val="22"/>
          <w:szCs w:val="22"/>
        </w:rPr>
        <w:t>Заявка на участие в Тендере и необходимые документы должны быть предоставлены в запечатанном конверте с подписью или в электронном формате, зашифрованном паролем, с последующим предоставлением пароля от файлов отдельным электронным письмом.</w:t>
      </w:r>
    </w:p>
    <w:p w14:paraId="46AA44DC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Список требуемых документов:</w:t>
      </w:r>
    </w:p>
    <w:p w14:paraId="0D2075F4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Тендерная заявка (Приложение №1)</w:t>
      </w:r>
    </w:p>
    <w:p w14:paraId="3159D6CD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Коммерческое предложение, сформированное согласно Техническому заданию (Приложение №2)</w:t>
      </w:r>
    </w:p>
    <w:p w14:paraId="5E92430C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Сведения об участнике тендера, включая описание релевантного опыта внедрения платформ класса API Management / iPaaS (например, в виде презентации)</w:t>
      </w:r>
    </w:p>
    <w:p w14:paraId="2C2315A0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Письменное подтверждение возможности on-premise развёртывания предлагаемого решения в контуре Заказчика (см. п. 4 Приложения №2) — обязательный документ, отсутствие которого является основанием для отклонения заявки</w:t>
      </w:r>
    </w:p>
    <w:p w14:paraId="5901750A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Перечень организаций, с которыми участник реализовывал аналогичные проекты (опыт внедрения интеграционных платформ, API Gateway, iPaaS)</w:t>
      </w:r>
    </w:p>
    <w:p w14:paraId="27F3D946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Описание предлагаемого программного продукта (платформы): архитектура, лицензионная модель</w:t>
      </w:r>
    </w:p>
    <w:p w14:paraId="50E327B3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Заверенная копия Устава (для юридических лиц)</w:t>
      </w:r>
    </w:p>
    <w:p w14:paraId="3576CCA1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Копия свидетельства или патента на предпринимательскую деятельность (для ИП)</w:t>
      </w:r>
    </w:p>
    <w:p w14:paraId="299504B9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Копии лицензий, сертификатов, партнёрских/дилерских полномочий вендора платформы (при наличии)</w:t>
      </w:r>
    </w:p>
    <w:p w14:paraId="54E2E494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Актуальная выписка из единого государственного реестра регистрации юридических лиц и индивидуальных предпринимателей</w:t>
      </w:r>
    </w:p>
    <w:p w14:paraId="1F67E486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ИНН</w:t>
      </w:r>
    </w:p>
    <w:p w14:paraId="6FB6AB97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Финансовые отчёты за последний год с отметкой налогового органа</w:t>
      </w:r>
    </w:p>
    <w:p w14:paraId="4DE1A190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Документы, подтверждающие полномочия представителя на совершение сделки, а также иные документы, необходимые для идентификации представителя (паспорт и другие документы)</w:t>
      </w:r>
    </w:p>
    <w:p w14:paraId="63FFE5C1" w14:textId="77777777" w:rsidR="00FD4C40" w:rsidRDefault="00000000">
      <w:pPr>
        <w:pStyle w:val="a4"/>
        <w:numPr>
          <w:ilvl w:val="0"/>
          <w:numId w:val="2"/>
        </w:numPr>
        <w:spacing w:after="80"/>
      </w:pPr>
      <w:r>
        <w:rPr>
          <w:sz w:val="22"/>
          <w:szCs w:val="22"/>
        </w:rPr>
        <w:t>Антикоррупционная декларация участника Тендера, заполненная по установленной форме (Приложение №3) — обязательный документ, отсутствие которого является основанием для отклонения заявки на этапе предварительной проверки</w:t>
      </w:r>
    </w:p>
    <w:p w14:paraId="6B1E1226" w14:textId="77777777" w:rsidR="00FD4C40" w:rsidRDefault="00FD4C40">
      <w:pPr>
        <w:spacing w:after="120"/>
      </w:pPr>
    </w:p>
    <w:p w14:paraId="7BAB315D" w14:textId="77777777" w:rsidR="00FD4C40" w:rsidRDefault="00000000">
      <w:pPr>
        <w:pStyle w:val="1"/>
        <w:spacing w:before="240" w:after="160"/>
      </w:pPr>
      <w:r>
        <w:rPr>
          <w:b/>
          <w:bCs/>
          <w:color w:val="000000"/>
          <w:sz w:val="26"/>
          <w:szCs w:val="26"/>
        </w:rPr>
        <w:t>3. Требования к участникам Тендера</w:t>
      </w:r>
    </w:p>
    <w:p w14:paraId="7191BCD6" w14:textId="77777777" w:rsidR="00FD4C40" w:rsidRDefault="00000000">
      <w:pPr>
        <w:spacing w:after="120"/>
      </w:pPr>
      <w:r>
        <w:rPr>
          <w:sz w:val="22"/>
          <w:szCs w:val="22"/>
        </w:rPr>
        <w:t>К участию в Тендере приглашаются все юридические лица и компании, которые должны соответствовать требованиям, предъявляемым в соответствии с законодательством Республики Таджикистан, в том числе:</w:t>
      </w:r>
    </w:p>
    <w:p w14:paraId="7F0647E9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Быть зарегистрированными в установленном законодательством порядке и иметь право осуществлять соответствующий вид деятельности;</w:t>
      </w:r>
    </w:p>
    <w:p w14:paraId="2F01C4AF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Не находиться в процессе реорганизации, ликвидации или в процедуре банкротства (несостоятельности) на дату подачи заявки;</w:t>
      </w:r>
    </w:p>
    <w:p w14:paraId="71E33DF8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Иметь подтверждённый опыт внедрения платформ класса API Management (APIM) и/или iPaaS/Integration-Orchestration Platform в организациях сопоставимого масштаба (минимум 2-3 успешных проекта), предпочтительно — в финансовом секторе;</w:t>
      </w:r>
    </w:p>
    <w:p w14:paraId="35CD4F7A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Предлагаемое решение должно поддерживать полное развёртывание on-premise в собственном контуре (ЦОД) Банка, без обязательной технологической зависимости критичных компонентов управления платформой (control plane) от внешней облачной инфраструктуры вендора. Решения, доступные исключительно в формате SaaS без варианта локального развёртывания, к участию в Тендере не допускаются;</w:t>
      </w:r>
    </w:p>
    <w:p w14:paraId="206EC2E1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lastRenderedPageBreak/>
        <w:t>Решения с гибридной моделью развёртывания (например, локальный data plane при облачном control plane) допускаются к рассмотрению только при условии отдельного письменного подтверждения соответствия требованиям информационной безопасности Банка на этапе рассмотрения заявки;</w:t>
      </w:r>
    </w:p>
    <w:p w14:paraId="5436F71F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Обладать собственной технологической платформой либо являться авторизованным партнёром вендора платформы с подтверждёнными компетенциями внедрения и поддержки;</w:t>
      </w:r>
    </w:p>
    <w:p w14:paraId="5BB341BE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Обладать профессиональной компетентностью, финансовыми и трудовыми (кадровыми) ресурсами, надёжностью, опытом и репутацией, необходимыми для исполнения договора;</w:t>
      </w:r>
    </w:p>
    <w:p w14:paraId="06EDFBEE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Обеспечивать соблюдение требований конфиденциальности и информационной безопасности, предъявляемых к организациям финансового сектора;</w:t>
      </w:r>
    </w:p>
    <w:p w14:paraId="72E68E22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Обеспечивать отсутствие Vendor-Lock — полную передачу экспертизы и доступ к конфигурациям внедряемого решения, достаточный для самостоятельной реконфигурации и развития платформы Банком;</w:t>
      </w:r>
    </w:p>
    <w:p w14:paraId="11E7A2CB" w14:textId="77777777" w:rsidR="00FD4C40" w:rsidRDefault="00000000">
      <w:pPr>
        <w:pStyle w:val="a4"/>
        <w:numPr>
          <w:ilvl w:val="0"/>
          <w:numId w:val="3"/>
        </w:numPr>
        <w:spacing w:after="80"/>
      </w:pPr>
      <w:r>
        <w:rPr>
          <w:sz w:val="22"/>
          <w:szCs w:val="22"/>
        </w:rPr>
        <w:t>Быть готовыми предоставить подтверждающие документы по требованию Заказчика.</w:t>
      </w:r>
    </w:p>
    <w:p w14:paraId="7E5D038F" w14:textId="77777777" w:rsidR="00FD4C40" w:rsidRDefault="00FD4C40">
      <w:pPr>
        <w:spacing w:after="120"/>
      </w:pPr>
    </w:p>
    <w:p w14:paraId="515E7F88" w14:textId="77777777" w:rsidR="00FD4C40" w:rsidRDefault="00000000">
      <w:pPr>
        <w:pStyle w:val="1"/>
        <w:spacing w:before="240" w:after="160"/>
      </w:pPr>
      <w:r>
        <w:rPr>
          <w:b/>
          <w:bCs/>
          <w:color w:val="000000"/>
          <w:sz w:val="26"/>
          <w:szCs w:val="26"/>
        </w:rPr>
        <w:t>4. Требования к коммерческому предложению</w:t>
      </w:r>
    </w:p>
    <w:p w14:paraId="314F648A" w14:textId="77777777" w:rsidR="00FD4C40" w:rsidRDefault="00000000">
      <w:pPr>
        <w:pStyle w:val="a4"/>
        <w:numPr>
          <w:ilvl w:val="0"/>
          <w:numId w:val="4"/>
        </w:numPr>
        <w:spacing w:after="80"/>
      </w:pPr>
      <w:r>
        <w:rPr>
          <w:sz w:val="22"/>
          <w:szCs w:val="22"/>
        </w:rPr>
        <w:t>Предложение должно формироваться согласно техническому заданию (Приложение №2).</w:t>
      </w:r>
    </w:p>
    <w:p w14:paraId="4DD0DDB2" w14:textId="77777777" w:rsidR="00FD4C40" w:rsidRDefault="00000000">
      <w:pPr>
        <w:pStyle w:val="a4"/>
        <w:numPr>
          <w:ilvl w:val="0"/>
          <w:numId w:val="4"/>
        </w:numPr>
        <w:spacing w:after="80"/>
      </w:pPr>
      <w:r>
        <w:rPr>
          <w:sz w:val="22"/>
          <w:szCs w:val="22"/>
        </w:rPr>
        <w:t>Предложение подаётся в формате официальных документов организации потенциального поставщика.</w:t>
      </w:r>
    </w:p>
    <w:p w14:paraId="60D5CE27" w14:textId="77777777" w:rsidR="00FD4C40" w:rsidRDefault="00000000">
      <w:pPr>
        <w:pStyle w:val="a4"/>
        <w:numPr>
          <w:ilvl w:val="0"/>
          <w:numId w:val="4"/>
        </w:numPr>
        <w:spacing w:after="80"/>
      </w:pPr>
      <w:r>
        <w:rPr>
          <w:sz w:val="22"/>
          <w:szCs w:val="22"/>
        </w:rPr>
        <w:t>Коммерческое предложение должно быть подписано руководителем организации, имеющим право подписания договорных документов.</w:t>
      </w:r>
    </w:p>
    <w:p w14:paraId="05529BDE" w14:textId="77777777" w:rsidR="00FD4C40" w:rsidRDefault="00000000">
      <w:pPr>
        <w:pStyle w:val="a4"/>
        <w:numPr>
          <w:ilvl w:val="0"/>
          <w:numId w:val="4"/>
        </w:numPr>
        <w:spacing w:after="80"/>
      </w:pPr>
      <w:r>
        <w:rPr>
          <w:sz w:val="22"/>
          <w:szCs w:val="22"/>
        </w:rPr>
        <w:t>В предложении необходимо указать: сроки реализации по каждому этапу проекта (Foundation / Prove of Value / Running / Support), состав и квалификацию команды, условия оплаты (в том числе поэтапная привязка к результатам этапов), лицензионную модель платформы (подписка/перпетуальная лицензия, стоимость по количеству API/нод/пользователей), стоимость услуг по построению центра компетенций и обучению команды Банка, объём и стоимость последующей вендорской поддержки (SLA поддержки, стоимость человеко-часа для дополнительных работ), а также гарантийные обязательства.</w:t>
      </w:r>
    </w:p>
    <w:p w14:paraId="4D324420" w14:textId="77777777" w:rsidR="00FD4C40" w:rsidRDefault="00000000">
      <w:r>
        <w:br w:type="page"/>
      </w:r>
    </w:p>
    <w:p w14:paraId="1C6C6D79" w14:textId="77777777" w:rsidR="00FD4C40" w:rsidRDefault="00000000">
      <w:pPr>
        <w:spacing w:after="240"/>
        <w:jc w:val="right"/>
      </w:pPr>
      <w:r>
        <w:rPr>
          <w:b/>
          <w:bCs/>
          <w:sz w:val="22"/>
          <w:szCs w:val="22"/>
        </w:rPr>
        <w:lastRenderedPageBreak/>
        <w:t>Приложение №1 к Тендерной документации</w:t>
      </w:r>
    </w:p>
    <w:p w14:paraId="06B07960" w14:textId="77777777" w:rsidR="00FD4C40" w:rsidRDefault="00000000">
      <w:pPr>
        <w:spacing w:after="120"/>
      </w:pPr>
      <w:r>
        <w:rPr>
          <w:sz w:val="22"/>
          <w:szCs w:val="22"/>
        </w:rPr>
        <w:t>Бланк поставщика</w:t>
      </w:r>
    </w:p>
    <w:p w14:paraId="3B2D171D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(Наименование, адрес, телефон, факс)</w:t>
      </w:r>
    </w:p>
    <w:p w14:paraId="4BDC9910" w14:textId="77777777" w:rsidR="00FD4C40" w:rsidRDefault="00000000">
      <w:pPr>
        <w:jc w:val="right"/>
      </w:pPr>
      <w:r>
        <w:rPr>
          <w:sz w:val="22"/>
          <w:szCs w:val="22"/>
        </w:rPr>
        <w:t>Председателю Правления</w:t>
      </w:r>
    </w:p>
    <w:p w14:paraId="68E8D95F" w14:textId="77777777" w:rsidR="00FD4C40" w:rsidRDefault="00000000">
      <w:pPr>
        <w:spacing w:after="240"/>
        <w:jc w:val="right"/>
      </w:pPr>
      <w:r>
        <w:rPr>
          <w:sz w:val="22"/>
          <w:szCs w:val="22"/>
        </w:rPr>
        <w:t>ОАО «Банк Эсхата»</w:t>
      </w:r>
    </w:p>
    <w:p w14:paraId="47E7F431" w14:textId="77777777" w:rsidR="00FD4C40" w:rsidRDefault="00000000">
      <w:pPr>
        <w:spacing w:after="120"/>
      </w:pPr>
      <w:r>
        <w:rPr>
          <w:sz w:val="22"/>
          <w:szCs w:val="22"/>
        </w:rPr>
        <w:t>Дата _______________</w:t>
      </w:r>
    </w:p>
    <w:p w14:paraId="288FDE1C" w14:textId="77777777" w:rsidR="00FD4C40" w:rsidRDefault="00FD4C40">
      <w:pPr>
        <w:spacing w:after="120"/>
      </w:pPr>
    </w:p>
    <w:p w14:paraId="324897A3" w14:textId="77777777" w:rsidR="00FD4C40" w:rsidRDefault="00000000">
      <w:pPr>
        <w:spacing w:after="240"/>
        <w:jc w:val="center"/>
      </w:pPr>
      <w:r>
        <w:rPr>
          <w:b/>
          <w:bCs/>
          <w:sz w:val="26"/>
          <w:szCs w:val="26"/>
        </w:rPr>
        <w:t>ТЕНДЕРНАЯ ЗАЯВКА</w:t>
      </w:r>
    </w:p>
    <w:p w14:paraId="25EE1C49" w14:textId="77777777" w:rsidR="00FD4C40" w:rsidRDefault="00000000">
      <w:pPr>
        <w:spacing w:after="240"/>
        <w:jc w:val="center"/>
      </w:pPr>
      <w:r>
        <w:rPr>
          <w:sz w:val="22"/>
          <w:szCs w:val="22"/>
        </w:rPr>
        <w:t>для участия в тендере на создание и внедрение слоя оркестрации API-сервисов (APIM &amp; iPaaS, on-premise)</w:t>
      </w:r>
    </w:p>
    <w:p w14:paraId="3ABFEEB7" w14:textId="77777777" w:rsidR="00FD4C40" w:rsidRDefault="00000000">
      <w:pPr>
        <w:spacing w:after="120"/>
      </w:pPr>
      <w:r>
        <w:rPr>
          <w:sz w:val="22"/>
          <w:szCs w:val="22"/>
        </w:rPr>
        <w:t>_____</w:t>
      </w:r>
      <w:r>
        <w:rPr>
          <w:b/>
          <w:bCs/>
          <w:i/>
          <w:iCs/>
          <w:sz w:val="22"/>
          <w:szCs w:val="22"/>
        </w:rPr>
        <w:t>(название участника тендера)</w:t>
      </w:r>
      <w:r>
        <w:rPr>
          <w:sz w:val="22"/>
          <w:szCs w:val="22"/>
        </w:rPr>
        <w:t>_____ предлагает осуществить оказание услуги для ОАО «Банк Эсхата» (далее — Банк) по внедрению платформы API Management и iPaaS согласно Техническому заданию (Приложение №2).</w:t>
      </w:r>
    </w:p>
    <w:p w14:paraId="7035C648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Стоимость_____</w:t>
      </w:r>
      <w:r>
        <w:rPr>
          <w:b/>
          <w:bCs/>
          <w:i/>
          <w:iCs/>
          <w:sz w:val="22"/>
          <w:szCs w:val="22"/>
        </w:rPr>
        <w:t>(цифрами и прописью)</w:t>
      </w:r>
      <w:r>
        <w:rPr>
          <w:b/>
          <w:bCs/>
          <w:sz w:val="22"/>
          <w:szCs w:val="22"/>
        </w:rPr>
        <w:t>_____________________ сомони, в том числе НДС _____________________.</w:t>
      </w:r>
    </w:p>
    <w:p w14:paraId="5A04B642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 xml:space="preserve">Неотъемлемой частью настоящей Тендерной заявки является </w:t>
      </w:r>
      <w:r>
        <w:rPr>
          <w:sz w:val="22"/>
          <w:szCs w:val="22"/>
        </w:rPr>
        <w:t xml:space="preserve">Коммерческое предложение </w:t>
      </w:r>
      <w:r>
        <w:rPr>
          <w:b/>
          <w:bCs/>
          <w:sz w:val="22"/>
          <w:szCs w:val="22"/>
        </w:rPr>
        <w:t>(Приложение №___).</w:t>
      </w:r>
    </w:p>
    <w:p w14:paraId="01D0F6CB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К заявке также прилагаются следующие документы:</w:t>
      </w:r>
    </w:p>
    <w:p w14:paraId="4898840A" w14:textId="77777777" w:rsidR="00FD4C40" w:rsidRDefault="00000000">
      <w:pPr>
        <w:spacing w:after="120"/>
      </w:pPr>
      <w:r>
        <w:rPr>
          <w:sz w:val="22"/>
          <w:szCs w:val="22"/>
        </w:rPr>
        <w:t>1._____________________________________</w:t>
      </w:r>
    </w:p>
    <w:p w14:paraId="1E0E599D" w14:textId="77777777" w:rsidR="00FD4C40" w:rsidRDefault="00000000">
      <w:pPr>
        <w:spacing w:after="120"/>
      </w:pPr>
      <w:r>
        <w:rPr>
          <w:sz w:val="22"/>
          <w:szCs w:val="22"/>
        </w:rPr>
        <w:t>2._____________________________________</w:t>
      </w:r>
    </w:p>
    <w:p w14:paraId="2790AEAF" w14:textId="77777777" w:rsidR="00FD4C40" w:rsidRDefault="00FD4C40">
      <w:pPr>
        <w:spacing w:after="120"/>
      </w:pPr>
    </w:p>
    <w:p w14:paraId="748A3076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и т.д. (необходимо перечислить все представляемые документы с указанием количества листов и экземпляров).</w:t>
      </w:r>
    </w:p>
    <w:p w14:paraId="7472043E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Мы обязуемся представлять любую информацию, которую Вы сочтёте необходимой для проверки сведений, содержащихся в данной Тендерной заявке, или относящихся к нашему опыту или квалификации.</w:t>
      </w:r>
    </w:p>
    <w:p w14:paraId="5519B595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Нам известно, что Банк оставляет за собой право принять или отклонить предложение по данному Тендеру, отменить процесс приобретения и отклонить все предложения в любое время до заключения договора (контракта). Следовательно, Банк не несёт ответственности перед участниками и не принимает на себя обязательство об информировании участников о причинах того или иного действия Банка.</w:t>
      </w:r>
    </w:p>
    <w:p w14:paraId="56580718" w14:textId="77777777" w:rsidR="00FD4C40" w:rsidRDefault="00FD4C40">
      <w:pPr>
        <w:spacing w:after="240"/>
      </w:pPr>
    </w:p>
    <w:p w14:paraId="0A150820" w14:textId="77777777" w:rsidR="00FD4C40" w:rsidRDefault="00000000">
      <w:pPr>
        <w:tabs>
          <w:tab w:val="left" w:pos="3200"/>
          <w:tab w:val="left" w:pos="6400"/>
        </w:tabs>
      </w:pPr>
      <w:r>
        <w:rPr>
          <w:sz w:val="22"/>
          <w:szCs w:val="22"/>
        </w:rPr>
        <w:t>_________________</w:t>
      </w:r>
      <w:r>
        <w:rPr>
          <w:sz w:val="22"/>
          <w:szCs w:val="22"/>
        </w:rPr>
        <w:tab/>
        <w:t>_________________</w:t>
      </w:r>
      <w:r>
        <w:rPr>
          <w:sz w:val="22"/>
          <w:szCs w:val="22"/>
        </w:rPr>
        <w:tab/>
        <w:t>_________________</w:t>
      </w:r>
    </w:p>
    <w:p w14:paraId="63E57662" w14:textId="77777777" w:rsidR="00FD4C40" w:rsidRDefault="00000000">
      <w:pPr>
        <w:tabs>
          <w:tab w:val="left" w:pos="3200"/>
          <w:tab w:val="left" w:pos="6400"/>
        </w:tabs>
      </w:pPr>
      <w:r>
        <w:rPr>
          <w:i/>
          <w:iCs/>
          <w:sz w:val="22"/>
          <w:szCs w:val="22"/>
        </w:rPr>
        <w:t>(должность)</w:t>
      </w:r>
      <w:r>
        <w:rPr>
          <w:i/>
          <w:iCs/>
          <w:sz w:val="22"/>
          <w:szCs w:val="22"/>
        </w:rPr>
        <w:tab/>
        <w:t>(подпись, печать)</w:t>
      </w:r>
      <w:r>
        <w:rPr>
          <w:i/>
          <w:iCs/>
          <w:sz w:val="22"/>
          <w:szCs w:val="22"/>
        </w:rPr>
        <w:tab/>
        <w:t>(Ф.И.О.)</w:t>
      </w:r>
    </w:p>
    <w:p w14:paraId="74FB87BB" w14:textId="77777777" w:rsidR="00FD4C40" w:rsidRDefault="00000000">
      <w:r>
        <w:br w:type="page"/>
      </w:r>
    </w:p>
    <w:p w14:paraId="709313FB" w14:textId="77777777" w:rsidR="00FD4C40" w:rsidRDefault="00000000">
      <w:pPr>
        <w:spacing w:after="240"/>
        <w:jc w:val="right"/>
      </w:pPr>
      <w:r>
        <w:rPr>
          <w:b/>
          <w:bCs/>
          <w:sz w:val="22"/>
          <w:szCs w:val="22"/>
        </w:rPr>
        <w:lastRenderedPageBreak/>
        <w:t>Приложение №2</w:t>
      </w:r>
    </w:p>
    <w:p w14:paraId="5572788C" w14:textId="77777777" w:rsidR="00FD4C40" w:rsidRDefault="00000000">
      <w:pPr>
        <w:spacing w:after="60"/>
        <w:jc w:val="center"/>
      </w:pPr>
      <w:r>
        <w:rPr>
          <w:b/>
          <w:bCs/>
          <w:sz w:val="26"/>
          <w:szCs w:val="26"/>
        </w:rPr>
        <w:t>ТЕХНИЧЕСКОЕ ЗАДАНИЕ</w:t>
      </w:r>
    </w:p>
    <w:p w14:paraId="23877026" w14:textId="77777777" w:rsidR="00FD4C40" w:rsidRDefault="00000000">
      <w:pPr>
        <w:spacing w:after="240"/>
        <w:jc w:val="center"/>
      </w:pPr>
      <w:r>
        <w:rPr>
          <w:i/>
          <w:iCs/>
          <w:sz w:val="22"/>
          <w:szCs w:val="22"/>
        </w:rPr>
        <w:t>на создание и внедрение слоя оркестрации API-сервисов (API Management &amp; iPaaS, on-premise)</w:t>
      </w:r>
    </w:p>
    <w:p w14:paraId="1DE61AC1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Глоссарий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500"/>
      </w:tblGrid>
      <w:tr w:rsidR="00FD4C40" w14:paraId="0766C4D0" w14:textId="77777777">
        <w:trPr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D1364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Термин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D9C6C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Определение</w:t>
            </w:r>
          </w:p>
        </w:tc>
      </w:tr>
      <w:tr w:rsidR="00FD4C40" w14:paraId="0FE8678E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9106B" w14:textId="77777777" w:rsidR="00FD4C40" w:rsidRDefault="00000000">
            <w:r>
              <w:rPr>
                <w:sz w:val="22"/>
                <w:szCs w:val="22"/>
              </w:rPr>
              <w:t>APIM (API Management)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79CD4" w14:textId="77777777" w:rsidR="00FD4C40" w:rsidRDefault="00000000">
            <w:r>
              <w:rPr>
                <w:sz w:val="22"/>
                <w:szCs w:val="22"/>
              </w:rPr>
              <w:t>Платформа управления полным жизненным циклом API: публикация, версионирование, безопасность, каталогизация, аналитика использования.</w:t>
            </w:r>
          </w:p>
        </w:tc>
      </w:tr>
      <w:tr w:rsidR="00FD4C40" w14:paraId="05DEC78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973B2" w14:textId="77777777" w:rsidR="00FD4C40" w:rsidRDefault="00000000">
            <w:r>
              <w:rPr>
                <w:sz w:val="22"/>
                <w:szCs w:val="22"/>
              </w:rPr>
              <w:t>iPaaS (Integration Platform as a Service)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86DF2" w14:textId="77777777" w:rsidR="00FD4C40" w:rsidRDefault="00000000">
            <w:r>
              <w:rPr>
                <w:sz w:val="22"/>
                <w:szCs w:val="22"/>
              </w:rPr>
              <w:t>Платформа для сборки, оркестрации и мониторинга интеграционных потоков и сквозных бизнес-процессов между системами.</w:t>
            </w:r>
          </w:p>
        </w:tc>
      </w:tr>
      <w:tr w:rsidR="00FD4C40" w14:paraId="706D2CAD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9BEE4" w14:textId="77777777" w:rsidR="00FD4C40" w:rsidRDefault="00000000">
            <w:r>
              <w:rPr>
                <w:sz w:val="22"/>
                <w:szCs w:val="22"/>
              </w:rPr>
              <w:t>Hybrid Integration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D0EC9" w14:textId="77777777" w:rsidR="00FD4C40" w:rsidRDefault="00000000">
            <w:r>
              <w:rPr>
                <w:sz w:val="22"/>
                <w:szCs w:val="22"/>
              </w:rPr>
              <w:t>Гибридный подход к управлению интеграциями, сочетающий возможности APIM и iPaaS в единой платформе.</w:t>
            </w:r>
          </w:p>
        </w:tc>
      </w:tr>
      <w:tr w:rsidR="00FD4C40" w14:paraId="5A2C605C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7EC33" w14:textId="77777777" w:rsidR="00FD4C40" w:rsidRDefault="00000000">
            <w:r>
              <w:rPr>
                <w:sz w:val="22"/>
                <w:szCs w:val="22"/>
              </w:rPr>
              <w:t>API Gateway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D2409" w14:textId="77777777" w:rsidR="00FD4C40" w:rsidRDefault="00000000">
            <w:r>
              <w:rPr>
                <w:sz w:val="22"/>
                <w:szCs w:val="22"/>
              </w:rPr>
              <w:t>Компонент платформы, обеспечивающий приём, маршрутизацию, аутентификацию и защиту вызовов API.</w:t>
            </w:r>
          </w:p>
        </w:tc>
      </w:tr>
      <w:tr w:rsidR="00FD4C40" w14:paraId="7422137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98342" w14:textId="77777777" w:rsidR="00FD4C40" w:rsidRDefault="00000000">
            <w:r>
              <w:rPr>
                <w:sz w:val="22"/>
                <w:szCs w:val="22"/>
              </w:rPr>
              <w:t>Control plane / Data plane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D7304" w14:textId="77777777" w:rsidR="00FD4C40" w:rsidRDefault="00000000">
            <w:r>
              <w:rPr>
                <w:sz w:val="22"/>
                <w:szCs w:val="22"/>
              </w:rPr>
              <w:t>Плоскость управления платформой (конфигурация, публикация, политики) / плоскость обработки прикладного трафика.</w:t>
            </w:r>
          </w:p>
        </w:tc>
      </w:tr>
      <w:tr w:rsidR="00FD4C40" w14:paraId="3BC9AE08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223E8" w14:textId="77777777" w:rsidR="00FD4C40" w:rsidRDefault="00000000">
            <w:r>
              <w:rPr>
                <w:sz w:val="22"/>
                <w:szCs w:val="22"/>
              </w:rPr>
              <w:t>Оркестрация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86D66" w14:textId="77777777" w:rsidR="00FD4C40" w:rsidRDefault="00000000">
            <w:r>
              <w:rPr>
                <w:sz w:val="22"/>
                <w:szCs w:val="22"/>
              </w:rPr>
              <w:t>Управление последовательностью вызовов, потоками данных и логикой взаимодействия между несколькими системами в рамках одного бизнес-процесса.</w:t>
            </w:r>
          </w:p>
        </w:tc>
      </w:tr>
      <w:tr w:rsidR="00FD4C40" w14:paraId="5381D98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649CA" w14:textId="77777777" w:rsidR="00FD4C40" w:rsidRDefault="00000000">
            <w:r>
              <w:rPr>
                <w:sz w:val="22"/>
                <w:szCs w:val="22"/>
              </w:rPr>
              <w:t>Dev Portal (портал разработчика)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99EE7" w14:textId="77777777" w:rsidR="00FD4C40" w:rsidRDefault="00000000">
            <w:r>
              <w:rPr>
                <w:sz w:val="22"/>
                <w:szCs w:val="22"/>
              </w:rPr>
              <w:t>Веб-интерфейс для поиска, документации, запроса доступа и тестирования API продуктовыми командами и партнёрами.</w:t>
            </w:r>
          </w:p>
        </w:tc>
      </w:tr>
      <w:tr w:rsidR="00FD4C40" w14:paraId="132A950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43464" w14:textId="77777777" w:rsidR="00FD4C40" w:rsidRDefault="00000000">
            <w:r>
              <w:rPr>
                <w:sz w:val="22"/>
                <w:szCs w:val="22"/>
              </w:rPr>
              <w:t>SLA / SLO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ABA51" w14:textId="77777777" w:rsidR="00FD4C40" w:rsidRDefault="00000000">
            <w:r>
              <w:rPr>
                <w:sz w:val="22"/>
                <w:szCs w:val="22"/>
              </w:rPr>
              <w:t>Service Level Agreement / Service Level Objective — соглашение об уровне услуг / целевой показатель уровня услуг.</w:t>
            </w:r>
          </w:p>
        </w:tc>
      </w:tr>
      <w:tr w:rsidR="00FD4C40" w14:paraId="38EF478B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44B6A" w14:textId="77777777" w:rsidR="00FD4C40" w:rsidRDefault="00000000">
            <w:r>
              <w:rPr>
                <w:sz w:val="22"/>
                <w:szCs w:val="22"/>
              </w:rPr>
              <w:t>RTO / RPO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E16D9" w14:textId="77777777" w:rsidR="00FD4C40" w:rsidRDefault="00000000">
            <w:r>
              <w:rPr>
                <w:sz w:val="22"/>
                <w:szCs w:val="22"/>
              </w:rPr>
              <w:t>Recovery Time Objective / Recovery Point Objective — целевое время восстановления / целевая точка восстановления данных после сбоя.</w:t>
            </w:r>
          </w:p>
        </w:tc>
      </w:tr>
      <w:tr w:rsidR="00FD4C40" w14:paraId="42F411C8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868A0" w14:textId="77777777" w:rsidR="00FD4C40" w:rsidRDefault="00000000">
            <w:r>
              <w:rPr>
                <w:sz w:val="22"/>
                <w:szCs w:val="22"/>
              </w:rPr>
              <w:t>RBAC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2A6C1" w14:textId="77777777" w:rsidR="00FD4C40" w:rsidRDefault="00000000">
            <w:r>
              <w:rPr>
                <w:sz w:val="22"/>
                <w:szCs w:val="22"/>
              </w:rPr>
              <w:t>Role-Based Access Control — ролевая модель разграничения доступа.</w:t>
            </w:r>
          </w:p>
        </w:tc>
      </w:tr>
      <w:tr w:rsidR="00FD4C40" w14:paraId="56FF297C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AED11" w14:textId="77777777" w:rsidR="00FD4C40" w:rsidRDefault="00000000">
            <w:r>
              <w:rPr>
                <w:sz w:val="22"/>
                <w:szCs w:val="22"/>
              </w:rPr>
              <w:t>Vendor-Lock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55C9F" w14:textId="77777777" w:rsidR="00FD4C40" w:rsidRDefault="00000000">
            <w:r>
              <w:rPr>
                <w:sz w:val="22"/>
                <w:szCs w:val="22"/>
              </w:rPr>
              <w:t>Ситуация, при которой Банк лишён возможности самостоятельно реконфигурировать, развивать и дорабатывать внедрённое решение (создавать новые интеграции, API, сценарии) без обязательного обращения к вендору/исполнителю за каждым изменением. Отсутствие Vendor-Lock в контексте настоящего ТЗ означает не возможность смены поставщика платформы (которая в любом случае затруднена после внедрения), а способность внутреннего центра компетенций Банка самостоятельно эксплуатировать и развивать предоставленную платформу.</w:t>
            </w:r>
          </w:p>
        </w:tc>
      </w:tr>
      <w:tr w:rsidR="00FD4C40" w14:paraId="62497698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75F34" w14:textId="77777777" w:rsidR="00FD4C40" w:rsidRDefault="00000000">
            <w:r>
              <w:rPr>
                <w:sz w:val="22"/>
                <w:szCs w:val="22"/>
              </w:rPr>
              <w:t>On-premise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3C099B" w14:textId="77777777" w:rsidR="00FD4C40" w:rsidRDefault="00000000">
            <w:r>
              <w:rPr>
                <w:sz w:val="22"/>
                <w:szCs w:val="22"/>
              </w:rPr>
              <w:t>Развёртывание программного обеспечения в собственной инфраструктуре (ЦОД) Банка, без обязательной зависимости от внешней облачной инфраструктуры вендора.</w:t>
            </w:r>
          </w:p>
        </w:tc>
      </w:tr>
      <w:tr w:rsidR="00FD4C40" w14:paraId="61BAC907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785A7" w14:textId="77777777" w:rsidR="00FD4C40" w:rsidRDefault="00000000">
            <w:r>
              <w:rPr>
                <w:sz w:val="22"/>
                <w:szCs w:val="22"/>
              </w:rPr>
              <w:t>Center of Excellence (центр компетенций)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F28BE" w14:textId="77777777" w:rsidR="00FD4C40" w:rsidRDefault="00000000">
            <w:r>
              <w:rPr>
                <w:sz w:val="22"/>
                <w:szCs w:val="22"/>
              </w:rPr>
              <w:t>Выделенная внутренняя команда Банка, отвечающая за развитие, поддержку и тиражирование практик работы с платформой после передачи экспертизы Исполнителем.</w:t>
            </w:r>
          </w:p>
        </w:tc>
      </w:tr>
      <w:tr w:rsidR="00FD4C40" w14:paraId="690499A8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F00BC" w14:textId="77777777" w:rsidR="00FD4C40" w:rsidRDefault="00000000">
            <w:r>
              <w:rPr>
                <w:sz w:val="22"/>
                <w:szCs w:val="22"/>
              </w:rPr>
              <w:lastRenderedPageBreak/>
              <w:t>TCO (Total Cost of Ownership)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C1B6B" w14:textId="77777777" w:rsidR="00FD4C40" w:rsidRDefault="00000000">
            <w:r>
              <w:rPr>
                <w:sz w:val="22"/>
                <w:szCs w:val="22"/>
              </w:rPr>
              <w:t>Совокупная стоимость владения решением на заданном временном горизонте, включая лицензии, внедрение, обучение и поддержку.</w:t>
            </w:r>
          </w:p>
        </w:tc>
      </w:tr>
      <w:tr w:rsidR="00FD4C40" w14:paraId="6C6C5310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7AE4D" w14:textId="77777777" w:rsidR="00FD4C40" w:rsidRDefault="00000000">
            <w:r>
              <w:rPr>
                <w:sz w:val="22"/>
                <w:szCs w:val="22"/>
              </w:rPr>
              <w:t>Legacy-система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6ABDF" w14:textId="77777777" w:rsidR="00FD4C40" w:rsidRDefault="00000000">
            <w:r>
              <w:rPr>
                <w:sz w:val="22"/>
                <w:szCs w:val="22"/>
              </w:rPr>
              <w:t>Унаследованная система прежнего поколения (в контексте настоящего ТЗ — действующие в Банке отдельные системы и компоненты, выполняющие функции интеграционной шины).</w:t>
            </w:r>
          </w:p>
        </w:tc>
      </w:tr>
    </w:tbl>
    <w:p w14:paraId="12BB90D7" w14:textId="77777777" w:rsidR="00FD4C40" w:rsidRDefault="00FD4C40">
      <w:pPr>
        <w:spacing w:after="120"/>
      </w:pPr>
    </w:p>
    <w:p w14:paraId="40B03D88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1. Общие сведения</w:t>
      </w:r>
    </w:p>
    <w:p w14:paraId="44355170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1.1 Идентификация проекта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00"/>
      </w:tblGrid>
      <w:tr w:rsidR="00FD4C40" w14:paraId="39A3C5F0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21705" w14:textId="77777777" w:rsidR="00FD4C40" w:rsidRDefault="00000000">
            <w:r>
              <w:rPr>
                <w:b/>
                <w:bCs/>
                <w:sz w:val="22"/>
                <w:szCs w:val="22"/>
              </w:rPr>
              <w:t>Проект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9F2C8" w14:textId="77777777" w:rsidR="00FD4C40" w:rsidRDefault="00000000">
            <w:r>
              <w:rPr>
                <w:sz w:val="22"/>
                <w:szCs w:val="22"/>
              </w:rPr>
              <w:t>Создание и внедрение слоя оркестрации API-сервисов (API Management &amp; iPaaS) для ОАО «Банк Эсхата»</w:t>
            </w:r>
          </w:p>
        </w:tc>
      </w:tr>
      <w:tr w:rsidR="00FD4C40" w14:paraId="51DF9BA1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D5583" w14:textId="77777777" w:rsidR="00FD4C40" w:rsidRDefault="00000000">
            <w:r>
              <w:rPr>
                <w:b/>
                <w:bCs/>
                <w:sz w:val="22"/>
                <w:szCs w:val="22"/>
              </w:rPr>
              <w:t>Инициатор / владелец со стороны ДИТ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66DD0" w14:textId="77777777" w:rsidR="00FD4C40" w:rsidRDefault="00000000">
            <w:r>
              <w:rPr>
                <w:sz w:val="22"/>
                <w:szCs w:val="22"/>
              </w:rPr>
              <w:t>Департамент информационных технологий ОАО «Банк Эсхата»</w:t>
            </w:r>
          </w:p>
        </w:tc>
      </w:tr>
      <w:tr w:rsidR="00FD4C40" w14:paraId="0C29341D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624BE1" w14:textId="77777777" w:rsidR="00FD4C40" w:rsidRDefault="00000000">
            <w:r>
              <w:rPr>
                <w:b/>
                <w:bCs/>
                <w:sz w:val="22"/>
                <w:szCs w:val="22"/>
              </w:rPr>
              <w:t>Бизнес-заказчик / спонсор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05A8CA" w14:textId="77777777" w:rsidR="00FD4C40" w:rsidRDefault="00000000">
            <w:r>
              <w:rPr>
                <w:sz w:val="22"/>
                <w:szCs w:val="22"/>
              </w:rPr>
              <w:t>Комитет по управлению проектами и цифровой трансформации ОАО «Банк Эсхата»</w:t>
            </w:r>
          </w:p>
        </w:tc>
      </w:tr>
      <w:tr w:rsidR="00FD4C40" w14:paraId="5F26D47A" w14:textId="77777777"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0F136" w14:textId="77777777" w:rsidR="00FD4C40" w:rsidRDefault="00000000">
            <w:r>
              <w:rPr>
                <w:b/>
                <w:bCs/>
                <w:sz w:val="22"/>
                <w:szCs w:val="22"/>
              </w:rPr>
              <w:t>Назначение документа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F272B1" w14:textId="77777777" w:rsidR="00FD4C40" w:rsidRDefault="00000000">
            <w:r>
              <w:rPr>
                <w:sz w:val="22"/>
                <w:szCs w:val="22"/>
              </w:rPr>
              <w:t>Настоящий документ описывает детальные технические, организационные и нефункциональные требования к проекту создания и внедрения слоя оркестрации API-сервисов, а также порядок реализации, приёмки и оценки предложений участников Тендера.</w:t>
            </w:r>
          </w:p>
        </w:tc>
      </w:tr>
    </w:tbl>
    <w:p w14:paraId="6FB246E7" w14:textId="77777777" w:rsidR="00FD4C40" w:rsidRDefault="00FD4C40">
      <w:pPr>
        <w:spacing w:after="120"/>
      </w:pPr>
    </w:p>
    <w:p w14:paraId="2556EC0E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1.2 Заказчик, контур и предмет тендера</w:t>
      </w:r>
    </w:p>
    <w:p w14:paraId="12AA8A5D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 xml:space="preserve">Заказчик: </w:t>
      </w:r>
      <w:r>
        <w:rPr>
          <w:sz w:val="22"/>
          <w:szCs w:val="22"/>
        </w:rPr>
        <w:t>ОАО «Банк Эсхата»</w:t>
      </w:r>
    </w:p>
    <w:p w14:paraId="338ACAE2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 xml:space="preserve">Контур: </w:t>
      </w:r>
      <w:r>
        <w:rPr>
          <w:sz w:val="22"/>
          <w:szCs w:val="22"/>
        </w:rPr>
        <w:t>корпоративный IT-ландшафт Банка, включая внутренние банковские системы, внешние партнёрские интеграции и цифровые каналы. Банк располагает значительным числом продуктов и систем, между которыми уже существует множество интеграций различного уровня зрелости.</w:t>
      </w:r>
    </w:p>
    <w:p w14:paraId="6E96034F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Предмет тендера:</w:t>
      </w:r>
    </w:p>
    <w:p w14:paraId="0C09EB48" w14:textId="77777777" w:rsidR="00FD4C40" w:rsidRDefault="00000000">
      <w:pPr>
        <w:spacing w:after="120"/>
      </w:pPr>
      <w:r>
        <w:rPr>
          <w:sz w:val="22"/>
          <w:szCs w:val="22"/>
        </w:rPr>
        <w:t>Создание и внедрение единого слоя оркестрации API-сервисов на базе платформы класса Hybrid Integration (API Management &amp; iPaaS), развёртываемой on-premise в контуре Банка, включающей каталог API, портал разработчика, управление жизненным циклом и безопасностью API, а также интеграционный движок для оркестрации, трансформации и мониторинга сквозных бизнес-процессов между внутренними системами Банка и внешними партнёрами. Проект включает поэтапное внедрение платформы, реализацию пилотных интеграций, передачу экспертизы и построение внутреннего центра компетенций Банка.</w:t>
      </w:r>
    </w:p>
    <w:p w14:paraId="7393ED1D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2. Обоснование потребности: требования к качественной интеграционной платформе</w:t>
      </w:r>
    </w:p>
    <w:p w14:paraId="0CFC6813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2.1 Бизнес-предпосылки</w:t>
      </w:r>
    </w:p>
    <w:p w14:paraId="4A31620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Банк демонстрирует устойчивый рост клиентской базы и продуктовой линейки.</w:t>
      </w:r>
    </w:p>
    <w:p w14:paraId="638A075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Развитие бизнеса требует сокращения сроков вывода новых продуктов, сопровождающихся значительным числом внутренних и внешних интеграций.</w:t>
      </w:r>
    </w:p>
    <w:p w14:paraId="4149B223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2.2 Технологические предпосылки</w:t>
      </w:r>
    </w:p>
    <w:p w14:paraId="4343AE66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Развитие Департамента информационных технологий (ДИТ) ограничено доступными мощностями, численностью и компетенциями специалистов.</w:t>
      </w:r>
    </w:p>
    <w:p w14:paraId="1686560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lastRenderedPageBreak/>
        <w:t>В текущем интеграционном ландшафте присутствует значительное количество прямых интеграций «точка-точка» и legacy-компонентов, что создаёт риски для производительности, информационной безопасности и наблюдаемости процессов.</w:t>
      </w:r>
    </w:p>
    <w:p w14:paraId="3A9FDFC7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Расширение штата инженеров, специализирующихся на разработке и поддержке интеграционного инструментария, экономически нецелесообразно и не соответствует приоритету развития банковских продуктов силами внутренней команды. Оптимальным решением является приобретение готовой промышленной платформы, а не разработка собственного инструментария.</w:t>
      </w:r>
    </w:p>
    <w:p w14:paraId="2258B1D5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2.3 Требования к целевой интеграционной платформе</w:t>
      </w:r>
    </w:p>
    <w:p w14:paraId="3FAAF85E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Прогнозируемые и сокращённые сроки создания новых интеграций;</w:t>
      </w:r>
    </w:p>
    <w:p w14:paraId="1D070CA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Многоуровневая система управления доступом;</w:t>
      </w:r>
    </w:p>
    <w:p w14:paraId="327C7E9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Быстрое и надёжное взаимодействие между системами;</w:t>
      </w:r>
    </w:p>
    <w:p w14:paraId="6D1040B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Наличие статистики, метрик и отчётности по интеграционным потокам;</w:t>
      </w:r>
    </w:p>
    <w:p w14:paraId="2390781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Возможность внесения изменений без снижения уровня безопасности и надёжности.</w:t>
      </w:r>
    </w:p>
    <w:p w14:paraId="785CC820" w14:textId="77777777" w:rsidR="00FD4C40" w:rsidRDefault="00000000">
      <w:pPr>
        <w:spacing w:after="120"/>
      </w:pPr>
      <w:r>
        <w:rPr>
          <w:b/>
          <w:bCs/>
          <w:i/>
          <w:iCs/>
          <w:sz w:val="22"/>
          <w:szCs w:val="22"/>
        </w:rPr>
        <w:t>На основании изложенного Банком принято решение о приобретении и внедрении промышленной платформы класса API Management / iPaaS для системного решения задач управления API и интеграциями.</w:t>
      </w:r>
    </w:p>
    <w:p w14:paraId="1A765A6E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3. Анализ рыночных подходов и обоснование выбора модели</w:t>
      </w:r>
    </w:p>
    <w:p w14:paraId="4977E987" w14:textId="77777777" w:rsidR="00FD4C40" w:rsidRDefault="00000000">
      <w:pPr>
        <w:spacing w:after="120"/>
      </w:pPr>
      <w:r>
        <w:rPr>
          <w:sz w:val="22"/>
          <w:szCs w:val="22"/>
        </w:rPr>
        <w:t>В рамках подготовки проекта Банком проведён анализ трёх основных подходов к управлению интеграциями, применяемых на рынке: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400"/>
        <w:gridCol w:w="3600"/>
      </w:tblGrid>
      <w:tr w:rsidR="00FD4C40" w14:paraId="08C246FE" w14:textId="77777777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6C965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Подход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8EA00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Характеристика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5F8AF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Когда оптимален</w:t>
            </w:r>
          </w:p>
        </w:tc>
      </w:tr>
      <w:tr w:rsidR="00FD4C40" w14:paraId="7FC6FE06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A2397" w14:textId="77777777" w:rsidR="00FD4C40" w:rsidRDefault="00000000">
            <w:r>
              <w:rPr>
                <w:sz w:val="22"/>
                <w:szCs w:val="22"/>
              </w:rPr>
              <w:t>ESB («Service Bus»)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41CDE" w14:textId="77777777" w:rsidR="00FD4C40" w:rsidRDefault="00000000">
            <w:r>
              <w:rPr>
                <w:sz w:val="22"/>
                <w:szCs w:val="22"/>
              </w:rPr>
              <w:t>Централизованный подход для традиционного крупного бизнеса. Обеспечивает абсолютную надёжность, высокий контроль транзакций и сложную трансформацию данных между тяжёлыми системами внутри защищённого периметра.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42F4A" w14:textId="77777777" w:rsidR="00FD4C40" w:rsidRDefault="00000000">
            <w:r>
              <w:rPr>
                <w:sz w:val="22"/>
                <w:szCs w:val="22"/>
              </w:rPr>
              <w:t>Консервативные корпорации со стабильным ландшафтом, где главное — безопасность, а не скорость частых изменений.</w:t>
            </w:r>
          </w:p>
        </w:tc>
      </w:tr>
      <w:tr w:rsidR="00FD4C40" w14:paraId="382DD7B1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C2BB6" w14:textId="77777777" w:rsidR="00FD4C40" w:rsidRDefault="00000000">
            <w:r>
              <w:rPr>
                <w:sz w:val="22"/>
                <w:szCs w:val="22"/>
              </w:rPr>
              <w:t>API Gateway («API-First»)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59E70" w14:textId="77777777" w:rsidR="00FD4C40" w:rsidRDefault="00000000">
            <w:r>
              <w:rPr>
                <w:sz w:val="22"/>
                <w:szCs w:val="22"/>
              </w:rPr>
              <w:t>Лёгкий децентрализованный подход для современного микросервисного стека. Шлюзу остаётся только базовая маршрутизация и защита трафика, вся логика интеграций — в самих микросервисах.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C06CE" w14:textId="77777777" w:rsidR="00FD4C40" w:rsidRDefault="00000000">
            <w:r>
              <w:rPr>
                <w:sz w:val="22"/>
                <w:szCs w:val="22"/>
              </w:rPr>
              <w:t>Стартапы и цифровые продукты, которым необходима максимальная скорость разработки (Time-to-Market), гибкость и непрерывный деплой.</w:t>
            </w:r>
          </w:p>
        </w:tc>
      </w:tr>
      <w:tr w:rsidR="00FD4C40" w14:paraId="2C14FB23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86662" w14:textId="77777777" w:rsidR="00FD4C40" w:rsidRDefault="00000000">
            <w:r>
              <w:rPr>
                <w:sz w:val="22"/>
                <w:szCs w:val="22"/>
              </w:rPr>
              <w:t>APIM &amp; iPaaS («Hybrid Integration»)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CA993" w14:textId="77777777" w:rsidR="00FD4C40" w:rsidRDefault="00000000">
            <w:r>
              <w:rPr>
                <w:sz w:val="22"/>
                <w:szCs w:val="22"/>
              </w:rPr>
              <w:t>Гибридный подход для динамично растущих компаний. Обеспечивает быструю сборку интеграций за счёт Low-Code конструкторов, готовых шаблонных коннекторов и удобного управления API-продуктами.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23C6C" w14:textId="77777777" w:rsidR="00FD4C40" w:rsidRDefault="00000000">
            <w:r>
              <w:rPr>
                <w:sz w:val="22"/>
                <w:szCs w:val="22"/>
              </w:rPr>
              <w:t>Бизнес, который стремится оперативно запускать новые цифровые сервисы и активно развивает партнёрства.</w:t>
            </w:r>
          </w:p>
        </w:tc>
      </w:tr>
    </w:tbl>
    <w:p w14:paraId="3BF349F4" w14:textId="77777777" w:rsidR="00FD4C40" w:rsidRDefault="00FD4C40">
      <w:pPr>
        <w:spacing w:after="120"/>
      </w:pPr>
    </w:p>
    <w:p w14:paraId="7F68E01E" w14:textId="77777777" w:rsidR="00FD4C40" w:rsidRDefault="00000000">
      <w:pPr>
        <w:spacing w:after="120"/>
      </w:pPr>
      <w:r>
        <w:rPr>
          <w:b/>
          <w:bCs/>
          <w:i/>
          <w:iCs/>
          <w:sz w:val="22"/>
          <w:szCs w:val="22"/>
        </w:rPr>
        <w:t>Вывод Банка: для активно растущего Банка в состоянии цифровой трансформации оптимальным является гибридный подход — APIM &amp; iPaaS (Hybrid Integration). Именно этот подход определяет предмет настоящего Технического задания.</w:t>
      </w:r>
    </w:p>
    <w:p w14:paraId="756ACDDD" w14:textId="77777777" w:rsidR="00FD4C40" w:rsidRDefault="00FD4C40">
      <w:pPr>
        <w:spacing w:after="120"/>
      </w:pPr>
    </w:p>
    <w:p w14:paraId="1D6897F1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 xml:space="preserve">Дополнительно, в рамках подготовки Тендера Банком проведён обзор актуального состояния рынка платформ APIM/iPaaS (Gartner Magic Quadrant 2025 по API Management и iPaaS, обзор open-source и региональных решений). Установлено, что значимая часть современных лидеров рынка (в том числе большинство «визионеров» и часть «лидеров» квадранта iPaaS) предлагает </w:t>
      </w:r>
      <w:r>
        <w:rPr>
          <w:i/>
          <w:iCs/>
          <w:sz w:val="22"/>
          <w:szCs w:val="22"/>
        </w:rPr>
        <w:lastRenderedPageBreak/>
        <w:t>решения исключительно в формате SaaS без возможности локального развёртывания, что делает их неприменимыми для контура Банка ввиду требований к размещению банковских данных (см. раздел 4). Это учтено при формировании требований к участникам Тендера (раздел 3 Тендерной документации) и не подлежит пересмотру в ходе тендерных процедур.</w:t>
      </w:r>
    </w:p>
    <w:p w14:paraId="5099A761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4. Обязательное требование к развёртыванию платформы</w:t>
      </w:r>
    </w:p>
    <w:p w14:paraId="31B7223C" w14:textId="77777777" w:rsidR="00FD4C40" w:rsidRDefault="00000000">
      <w:pPr>
        <w:spacing w:after="120"/>
      </w:pPr>
      <w:r>
        <w:rPr>
          <w:sz w:val="22"/>
          <w:szCs w:val="22"/>
        </w:rPr>
        <w:t>Предлагаемая платформа должна соответствовать следующим требованиям к модели развёртывания:</w:t>
      </w:r>
    </w:p>
    <w:p w14:paraId="59A92426" w14:textId="77777777" w:rsidR="00FD4C40" w:rsidRDefault="00000000">
      <w:pPr>
        <w:pStyle w:val="a4"/>
        <w:numPr>
          <w:ilvl w:val="0"/>
          <w:numId w:val="6"/>
        </w:numPr>
        <w:spacing w:after="80"/>
      </w:pPr>
      <w:r>
        <w:rPr>
          <w:sz w:val="22"/>
          <w:szCs w:val="22"/>
        </w:rPr>
        <w:t>Полное развёртывание on-premise в собственном контуре (ЦОД) Банка — обязательное требование. Компоненты платформы, отвечающие за управление жизненным циклом API, публикацию, авторизацию доступа, обработку и оркестрацию банковских данных, должны эксплуатироваться в инфраструктуре Банка;</w:t>
      </w:r>
    </w:p>
    <w:p w14:paraId="48DCA32A" w14:textId="77777777" w:rsidR="00FD4C40" w:rsidRDefault="00000000">
      <w:pPr>
        <w:pStyle w:val="a4"/>
        <w:numPr>
          <w:ilvl w:val="0"/>
          <w:numId w:val="6"/>
        </w:numPr>
        <w:spacing w:after="80"/>
      </w:pPr>
      <w:r>
        <w:rPr>
          <w:sz w:val="22"/>
          <w:szCs w:val="22"/>
        </w:rPr>
        <w:t>Не допускается обязательная технологическая зависимость критичных компонентов управления платформой (control plane) от внешней облачной инфраструктуры, управляемой вендором или третьей стороной;</w:t>
      </w:r>
    </w:p>
    <w:p w14:paraId="536C6889" w14:textId="77777777" w:rsidR="00FD4C40" w:rsidRDefault="00000000">
      <w:pPr>
        <w:pStyle w:val="a4"/>
        <w:numPr>
          <w:ilvl w:val="0"/>
          <w:numId w:val="6"/>
        </w:numPr>
        <w:spacing w:after="80"/>
      </w:pPr>
      <w:r>
        <w:rPr>
          <w:sz w:val="22"/>
          <w:szCs w:val="22"/>
        </w:rPr>
        <w:t>Гибридные модели развёртывания (например, локальный data plane при облачном control plane вендора) допускаются к рассмотрению только при отдельном письменном согласовании со Службой информационной безопасности Банка на этапе оценки заявки;</w:t>
      </w:r>
    </w:p>
    <w:p w14:paraId="00F3274A" w14:textId="77777777" w:rsidR="00FD4C40" w:rsidRDefault="00000000">
      <w:pPr>
        <w:pStyle w:val="a4"/>
        <w:numPr>
          <w:ilvl w:val="0"/>
          <w:numId w:val="6"/>
        </w:numPr>
        <w:spacing w:after="80"/>
      </w:pPr>
      <w:r>
        <w:rPr>
          <w:sz w:val="22"/>
          <w:szCs w:val="22"/>
        </w:rPr>
        <w:t>Участник обязан представить в составе заявки документ, однозначно описывающий архитектуру развёртывания предлагаемого решения с указанием компонентов, размещаемых в контуре Банка, и компонентов (если таковые имеются), остающихся под управлением вендора.</w:t>
      </w:r>
    </w:p>
    <w:p w14:paraId="0B36FB5B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5. Цели и ожидаемые результаты внедрения</w:t>
      </w:r>
    </w:p>
    <w:p w14:paraId="575591BF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Измеримая цель проекта: развернуть и ввести в промышленную эксплуатацию в инфраструктуре Банка платформы iPaaS и APIM, реализовать не менее 100 (ста) API и не менее 10 (десяти) пилотных интеграционных потоков в рамках Этапа 2 «Prove of Value» (раздел 7), утвердить корпоративные стандарты API и интеграций, обучить не менее 5 (пяти) специалистов Банка и передать платформу внутренней команде Банка по акту приёмки.</w:t>
      </w:r>
    </w:p>
    <w:p w14:paraId="08C540DE" w14:textId="77777777" w:rsidR="00FD4C40" w:rsidRDefault="00FD4C40">
      <w:pPr>
        <w:spacing w:after="120"/>
      </w:pPr>
    </w:p>
    <w:p w14:paraId="125632CF" w14:textId="77777777" w:rsidR="00FD4C40" w:rsidRDefault="00000000">
      <w:pPr>
        <w:spacing w:after="120"/>
      </w:pPr>
      <w:r>
        <w:rPr>
          <w:sz w:val="22"/>
          <w:szCs w:val="22"/>
        </w:rPr>
        <w:t>По результатам реализации проекта Банк должен получить следующие результаты:</w:t>
      </w:r>
    </w:p>
    <w:p w14:paraId="0FE7DE7B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5.1 Единую точку API Management</w:t>
      </w:r>
    </w:p>
    <w:p w14:paraId="4D4EDFC3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Стандартизированную, унифицированную, безопасную, наблюдаемую платформу с контролем доступа и гарантированной производительностью. Возможность выстроить систему SLA для end-to-end процессов без дополнительных затрат на внедрение контроля на каждом этапе.</w:t>
      </w:r>
    </w:p>
    <w:p w14:paraId="65EB15D4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5.2 Внутренний центр компетенций</w:t>
      </w:r>
    </w:p>
    <w:p w14:paraId="06B145A1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Создание новых интеграций в течение прогнозируемого времени (дни — вместо недель, часы — вместо дней) из готовых шаблонов, без обязательного привлечения вендора на каждую задачу. Возможность создания собственных шаблонов интеграции для более глубокого переиспользования технологий.</w:t>
      </w:r>
    </w:p>
    <w:p w14:paraId="59C8DC45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5.3 Безопасную среду интеграций</w:t>
      </w:r>
    </w:p>
    <w:p w14:paraId="09B73868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Интеграция под контролем, с системой разделения прав доступа к чувствительной банковской информации. Логирование и анализ нештатных ситуаций.</w:t>
      </w:r>
    </w:p>
    <w:p w14:paraId="54FBB27D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5.4 Архитектурную согласованность</w:t>
      </w:r>
    </w:p>
    <w:p w14:paraId="56FB54E7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Автоматический архитектурный контроль при публикации API. Невозможность публикации «нестандартных» протоколов.</w:t>
      </w:r>
    </w:p>
    <w:p w14:paraId="02F5068D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5.5 Внутренний портал разработки</w:t>
      </w:r>
    </w:p>
    <w:p w14:paraId="0D090087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lastRenderedPageBreak/>
        <w:t>Веб-портал с подробным описанием процессов интеграции для быстрого онбординга, автоматизированное развёртывание тестовых сред. Возможность для продуктовых команд самостоятельно разработать и протестировать API.</w:t>
      </w:r>
    </w:p>
    <w:p w14:paraId="2D660274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5.6 Внешний портал разработки</w:t>
      </w:r>
    </w:p>
    <w:p w14:paraId="3D78EA95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Безопасные «песочницы» с качественной документацией для ускоренной интеграции с внешними партнёрами без проблем с регуляторами. Возможность внедрения подхода Open Banking для создания собственной экосистемы.</w:t>
      </w:r>
    </w:p>
    <w:p w14:paraId="62CC2789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6. Функциональные требования к платформе</w:t>
      </w:r>
    </w:p>
    <w:p w14:paraId="4D15AD5A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6.1 Управление жизненным циклом API</w:t>
      </w:r>
    </w:p>
    <w:p w14:paraId="53A835D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Управление и деплой API на все среды (dev/test/preprod/prod) из единого портала;</w:t>
      </w:r>
    </w:p>
    <w:p w14:paraId="7725E19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Создание новых версий API с миграцией существующих подписок;</w:t>
      </w:r>
    </w:p>
    <w:p w14:paraId="034BC34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Ручное и автоматическое разрешение доступа к API;</w:t>
      </w:r>
    </w:p>
    <w:p w14:paraId="0C8E826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Поддержка «продуктов API» — наборов связанных методов для одновременной подписки;</w:t>
      </w:r>
    </w:p>
    <w:p w14:paraId="522CC76A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Разграничение доступа к изменению API с назначением групп и ролей.</w:t>
      </w:r>
    </w:p>
    <w:p w14:paraId="1AEB07DD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6.2 Медиация и интеграция (Low-code оркестрация)</w:t>
      </w:r>
    </w:p>
    <w:p w14:paraId="45997616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Поддержка REST API: маршрутизация по условиям, настройка CORS, аутентификация и авторизация вызовов, манипуляция заголовками и URI, балансировка нагрузки и канареечные релизы, настройка квот;</w:t>
      </w:r>
    </w:p>
    <w:p w14:paraId="2B540AC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Поддержка событийной интеграции (Kafka API и аналоги): управление топиками, доступом к топикам и подписками;</w:t>
      </w:r>
    </w:p>
    <w:p w14:paraId="522F2806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Low-code инструменты сборки интеграций, библиотека готовых шаблонных коннекторов к типовым банковским и внешним системам;</w:t>
      </w:r>
    </w:p>
    <w:p w14:paraId="761F47F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Поддержка оркестрации сквозных бизнес-процессов между несколькими системами и партнёрами.</w:t>
      </w:r>
    </w:p>
    <w:p w14:paraId="2917D99F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6.3 Управление и каталог API</w:t>
      </w:r>
    </w:p>
    <w:p w14:paraId="13045FF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Единый каталог API на организацию;</w:t>
      </w:r>
    </w:p>
    <w:p w14:paraId="29E31B5E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Автоматическая проверка наличия обязательных артефактов API (спецификации, описание, тестовые коллекции);</w:t>
      </w:r>
    </w:p>
    <w:p w14:paraId="089DB04E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Проверка на соответствие OpenAPI-спецификации и внутренним стандартам Банка;</w:t>
      </w:r>
    </w:p>
    <w:p w14:paraId="24815AE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Процесс валидации архитекторами и службой информационной безопасности при публикации API;</w:t>
      </w:r>
    </w:p>
    <w:p w14:paraId="118A37F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Мониторинг и метрики использования для владельцев и потребителей API.</w:t>
      </w:r>
    </w:p>
    <w:p w14:paraId="7E9136CC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6.4 Безопасность</w:t>
      </w:r>
    </w:p>
    <w:p w14:paraId="23F021E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Многоуровневая защита трафика: WAF / Anti-DDOS, защита от ботов, соответствие OWASP;</w:t>
      </w:r>
    </w:p>
    <w:p w14:paraId="4E5257A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Контроль доступа к API на основе API-ключей либо OAuth2/OIDC со спецификацией JWT-токенов;</w:t>
      </w:r>
    </w:p>
    <w:p w14:paraId="47F9008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Интеграция с корпоративной системой управления учётными записями Банка;</w:t>
      </w:r>
    </w:p>
    <w:p w14:paraId="3696F020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Возможность добавления этапа согласования службой ИБ при публикации критичных API в продуктивную среду;</w:t>
      </w:r>
    </w:p>
    <w:p w14:paraId="5786B95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Контроль квот на потребителя с гранулярностью до метода API;</w:t>
      </w:r>
    </w:p>
    <w:p w14:paraId="66821866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Возможность доставки событий информационной безопасности в SOC Банка.</w:t>
      </w:r>
    </w:p>
    <w:p w14:paraId="27EEE54F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6.5 Observability и мониторинг</w:t>
      </w:r>
    </w:p>
    <w:p w14:paraId="12DFE2E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Экспорт метрик в систему мониторинга Банка (Pandora) по открытым стандартам (например, OpenTelemetry или совместимому формату);</w:t>
      </w:r>
    </w:p>
    <w:p w14:paraId="320FFA7A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Настраиваемый менеджер алертов по метрикам платформы;</w:t>
      </w:r>
    </w:p>
    <w:p w14:paraId="2A08F642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lastRenderedPageBreak/>
        <w:t>Расширенное логирование для расследования инцидентов и аналитики;</w:t>
      </w:r>
    </w:p>
    <w:p w14:paraId="34DC16F2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Задание и контроль SLO по опубликованным API и интеграционным потокам.</w:t>
      </w:r>
    </w:p>
    <w:p w14:paraId="7A691B00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7. Этапы реализации проекта</w:t>
      </w:r>
    </w:p>
    <w:p w14:paraId="2D3DCE14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Реализация проекта строится на последовательной и управляемой передаче экспертизы от Исполнителя команде Банка: на каждом следующем этапе доля самостоятельного участия Банка возрастает, а роль Исполнителя смещается от непосредственного выполнения работ к сопровождению и консультированию.</w:t>
      </w:r>
    </w:p>
    <w:p w14:paraId="3717B181" w14:textId="77777777" w:rsidR="00FD4C40" w:rsidRDefault="00FD4C40">
      <w:pPr>
        <w:spacing w:after="120"/>
      </w:pPr>
    </w:p>
    <w:p w14:paraId="23016C58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Этап 1 «Foundation» — выполняется силами Исполнителя</w:t>
      </w:r>
    </w:p>
    <w:p w14:paraId="08A63494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На данном этапе Исполнитель обладает экспертизой по платформе, а Банк — экспертизой по собственному ландшафту и действующим интеграциям; результатом этапа является синтез этих знаний в согласованный план работ Этапа 2:</w:t>
      </w:r>
    </w:p>
    <w:p w14:paraId="6B3BC59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Установка и настройка Платформы (в контуре Банка, on-premise);</w:t>
      </w:r>
    </w:p>
    <w:p w14:paraId="6F190C8C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Диагностика существующего интеграционного ландшафта и действующих интеграционных протоколов Банка;</w:t>
      </w:r>
    </w:p>
    <w:p w14:paraId="2F034215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Согласование подхода к целевой архитектуре платформы с Архитектурным комитетом Банка;</w:t>
      </w:r>
    </w:p>
    <w:p w14:paraId="2B0AF6C6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Согласование стандартов API и интеграций;</w:t>
      </w:r>
    </w:p>
    <w:p w14:paraId="5EA9C6EB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Формирование по итогам этапа согласованного перечня задач (scope) для Этапа 2 — приоритизированного списка API и интеграционных потоков к реализации.</w:t>
      </w:r>
    </w:p>
    <w:p w14:paraId="32412008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Этап 2 «Prove of Value» — выполняется совместно специалистами Исполнителя и Банка</w:t>
      </w:r>
    </w:p>
    <w:p w14:paraId="077693A6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Специалисты Исполнителя, владеющие экспертизой по платформе, и специалисты Банка, владеющие знанием конкретного ландшафта, реализуют согласованный на Этапе 1 объём работ совместно; данный этап одновременно является практической передачей знаний команде Банка:</w:t>
      </w:r>
    </w:p>
    <w:p w14:paraId="6B0AF86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Совместная реализация не менее 100 (ста) API и не менее 10 (десяти) интеграционных потоков в выбранном бизнес-домене на платформе iPaaS;</w:t>
      </w:r>
    </w:p>
    <w:p w14:paraId="1EE7A07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Запуск APIM-процессов и публикация реализованных API на внутреннем и внешнем порталах;</w:t>
      </w:r>
    </w:p>
    <w:p w14:paraId="3703DF6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Построение центра компетенций по APIM и интеграционной платформе;</w:t>
      </w:r>
    </w:p>
    <w:p w14:paraId="2A9E5B05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Обучение команды Банка работе с Платформой в ходе совместной реализации задач Этапа 2.</w:t>
      </w:r>
    </w:p>
    <w:p w14:paraId="1816982D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Этап 2 является контрольной точкой проекта (Go/No-Go gate): переход к Этапу 3 «Running» допускается только при документальном подтверждении достижения согласованных Сторонами на этапе заключения договора измеримых критериев успеха, в том числе (перечень уточняется и фиксируется в договоре):</w:t>
      </w:r>
    </w:p>
    <w:p w14:paraId="35D8A32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фактическое количество реализованных API (не менее 100) и интеграционных потоков (не менее 10) относительно плана Этапа 2;</w:t>
      </w:r>
    </w:p>
    <w:p w14:paraId="52F800D5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подтверждённое сокращение времени создания новой интеграции относительно базового уровня (baseline), зафиксированного на Этапе 1;</w:t>
      </w:r>
    </w:p>
    <w:p w14:paraId="0F44DA47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соответствие пилотных интеграционных потоков согласованным показателям SLA/SLO (раздел 13);</w:t>
      </w:r>
    </w:p>
    <w:p w14:paraId="5F7682AC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результаты обучения и готовность внутреннего центра компетенций Банка к самостоятельному выполнению работ Этапа 3 под наблюдением Исполнителя.</w:t>
      </w:r>
    </w:p>
    <w:p w14:paraId="607FF91E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В случае недостижения согласованных критериев Банк имеет право приостановить проект, потребовать корректирующих действий Исполнителя без дополнительной оплаты либо расторгнуть договор в порядке, предусмотренном договором.</w:t>
      </w:r>
    </w:p>
    <w:p w14:paraId="2884DEAC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Этап 3 «Running» — выполняется специалистами Банка под наблюдением Исполнителя</w:t>
      </w:r>
    </w:p>
    <w:p w14:paraId="0C5F401C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lastRenderedPageBreak/>
        <w:t>Реализация оставшихся интеграций силами команды Банка при экспертном сопровождении (супервайзинге) специалистов Исполнителя;</w:t>
      </w:r>
    </w:p>
    <w:p w14:paraId="3D2B1A8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Передача APIM в операционный режим команде Банка;</w:t>
      </w:r>
    </w:p>
    <w:p w14:paraId="39A6B61E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Переход на iPaaS как стандарт интеграции для всех команд Банка;</w:t>
      </w:r>
    </w:p>
    <w:p w14:paraId="4BA5726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Запуск Платформы в промышленную эксплуатацию под контролем специалистов Исполнителя.</w:t>
      </w:r>
    </w:p>
    <w:p w14:paraId="252249D6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Этап 4 «Support» — выполняется самостоятельно командой Банка, Исполнитель привлекается точечно</w:t>
      </w:r>
    </w:p>
    <w:p w14:paraId="2F77529C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Промышленная эксплуатация платформы силами внутреннего центра компетенций Банка;</w:t>
      </w:r>
    </w:p>
    <w:p w14:paraId="0FA90989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Запуск дополнительных проектов по модернизации монолитов силами команд Банка;</w:t>
      </w:r>
    </w:p>
    <w:p w14:paraId="62DF7E9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Вендорская поддержка и консультации Исполнителя привлекаются только по отдельным обращениям Банка — в случаях, с которыми внутренняя команда не может справиться самостоятельно.</w:t>
      </w:r>
    </w:p>
    <w:p w14:paraId="33088568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8. Демонстрация решения в рамках оценки заявок</w:t>
      </w:r>
    </w:p>
    <w:p w14:paraId="68F2A7BE" w14:textId="77777777" w:rsidR="00FD4C40" w:rsidRDefault="00000000">
      <w:pPr>
        <w:spacing w:after="120"/>
      </w:pPr>
      <w:r>
        <w:rPr>
          <w:sz w:val="22"/>
          <w:szCs w:val="22"/>
        </w:rPr>
        <w:t>С учётом того, что предметом Тендера является платформа, ценность которой раскрывается только в интеграции с конкретным IT-ландшафтом Банка, полноценный пилотный проект (PoC) в контуре Банка до заключения договора не требуется и не является условием участия. Вместо этого от участника требуется техническая демонстрация решения вне контура Банка, позволяющая оценить зрелость продукта без затрат на кастомную интеграцию:</w:t>
      </w:r>
    </w:p>
    <w:p w14:paraId="401A105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демонстрация каталога API и портала разработчика на демо-стенде / в среде sandbox участника (доступ предоставляется Тендерной комиссии на срок оценки заявок);</w:t>
      </w:r>
    </w:p>
    <w:p w14:paraId="42F2D90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демонстрация публикации тестового API с прохождением жизненного цикла (создание → версионирование → публикация → отзыв доступа);</w:t>
      </w:r>
    </w:p>
    <w:p w14:paraId="797C3362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демонстрация типового low-code сценария интеграции/оркестрации между двумя системами на платформе iPaaS;</w:t>
      </w:r>
    </w:p>
    <w:p w14:paraId="2CCC3B00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демонстрация дашборда observability (метрики, алертинг, SLO) на примере тестового API;</w:t>
      </w:r>
    </w:p>
    <w:p w14:paraId="32004757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демонстрация модели развёртывания on-premise (архитектурная схема компонентов, устанавливаемых в контуре Банка).</w:t>
      </w:r>
    </w:p>
    <w:p w14:paraId="4FBDB45D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Формат демонстрации — очно, удалённо в режиме видеоконференции либо посредством предоставленной видеозаписи и временного доступа к демо-стенду, по выбору Тендерной комиссии. Демонстрация не предполагает раскрытия участником конфиденциальной информации о других клиентах.</w:t>
      </w:r>
    </w:p>
    <w:p w14:paraId="3BBD32DF" w14:textId="77777777" w:rsidR="00FD4C40" w:rsidRDefault="00FD4C40">
      <w:pPr>
        <w:spacing w:after="120"/>
      </w:pPr>
    </w:p>
    <w:p w14:paraId="64555BBE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Дальнейшая содержательная проверка решения на реальных данных и сценариях Банка выполняется по факту заключения договора в рамках Этапа 2 «Prove of Value» (раздел 7), являющегося контрольной точкой проекта.</w:t>
      </w:r>
    </w:p>
    <w:p w14:paraId="39AD73D9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9. Требования к Исполнителю</w:t>
      </w:r>
    </w:p>
    <w:p w14:paraId="4E420DEB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9.1 Обязательный состав команды</w:t>
      </w:r>
    </w:p>
    <w:p w14:paraId="571CD227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Исполнитель обязан предоставить выделенную команду следующего состава на соответствующих этапах проекта (эквивалент по ролям допускается, уменьшение состава — не допускается):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2600"/>
        <w:gridCol w:w="2200"/>
      </w:tblGrid>
      <w:tr w:rsidR="00FD4C40" w14:paraId="048A4BE7" w14:textId="77777777">
        <w:trPr>
          <w:tblHeader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6FD96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Роль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2B07B0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29427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</w:tr>
      <w:tr w:rsidR="00FD4C40" w14:paraId="6F00A6F4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E8514" w14:textId="77777777" w:rsidR="00FD4C40" w:rsidRDefault="00000000">
            <w:r>
              <w:rPr>
                <w:sz w:val="22"/>
                <w:szCs w:val="22"/>
              </w:rPr>
              <w:t>Руководитель проекта / Менеджер проекта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437E5" w14:textId="77777777" w:rsidR="00FD4C40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107AF" w14:textId="77777777" w:rsidR="00FD4C40" w:rsidRDefault="00000000">
            <w:r>
              <w:rPr>
                <w:sz w:val="22"/>
                <w:szCs w:val="22"/>
              </w:rPr>
              <w:t>Senior</w:t>
            </w:r>
          </w:p>
        </w:tc>
      </w:tr>
      <w:tr w:rsidR="00FD4C40" w14:paraId="6572314D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11CB71" w14:textId="77777777" w:rsidR="00FD4C40" w:rsidRDefault="00000000">
            <w:r>
              <w:rPr>
                <w:sz w:val="22"/>
                <w:szCs w:val="22"/>
              </w:rPr>
              <w:t>Архитектор решения (APIM/iPaaS)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657A3" w14:textId="77777777" w:rsidR="00FD4C40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CDAC8" w14:textId="77777777" w:rsidR="00FD4C40" w:rsidRDefault="00000000">
            <w:r>
              <w:rPr>
                <w:sz w:val="22"/>
                <w:szCs w:val="22"/>
              </w:rPr>
              <w:t>Senior</w:t>
            </w:r>
          </w:p>
        </w:tc>
      </w:tr>
      <w:tr w:rsidR="00FD4C40" w14:paraId="089C7A3F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A408B" w14:textId="77777777" w:rsidR="00FD4C40" w:rsidRDefault="00000000">
            <w:r>
              <w:rPr>
                <w:sz w:val="22"/>
                <w:szCs w:val="22"/>
              </w:rPr>
              <w:t>Инженер по внедрению APIM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B1214" w14:textId="77777777" w:rsidR="00FD4C40" w:rsidRDefault="00000000">
            <w:r>
              <w:rPr>
                <w:sz w:val="22"/>
                <w:szCs w:val="22"/>
              </w:rPr>
              <w:t>1–2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14D3A" w14:textId="77777777" w:rsidR="00FD4C40" w:rsidRDefault="00000000">
            <w:r>
              <w:rPr>
                <w:sz w:val="22"/>
                <w:szCs w:val="22"/>
              </w:rPr>
              <w:t>Senior</w:t>
            </w:r>
          </w:p>
        </w:tc>
      </w:tr>
      <w:tr w:rsidR="00FD4C40" w14:paraId="13C23853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A83FF" w14:textId="77777777" w:rsidR="00FD4C40" w:rsidRDefault="00000000">
            <w:r>
              <w:rPr>
                <w:sz w:val="22"/>
                <w:szCs w:val="22"/>
              </w:rPr>
              <w:lastRenderedPageBreak/>
              <w:t>Инженер по внедрению iPaaS / интеграций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6C7EC" w14:textId="77777777" w:rsidR="00FD4C40" w:rsidRDefault="00000000">
            <w:r>
              <w:rPr>
                <w:sz w:val="22"/>
                <w:szCs w:val="22"/>
              </w:rPr>
              <w:t>1–2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06CFE" w14:textId="77777777" w:rsidR="00FD4C40" w:rsidRDefault="00000000">
            <w:r>
              <w:rPr>
                <w:sz w:val="22"/>
                <w:szCs w:val="22"/>
              </w:rPr>
              <w:t>Senior</w:t>
            </w:r>
          </w:p>
        </w:tc>
      </w:tr>
      <w:tr w:rsidR="00FD4C40" w14:paraId="33F7860A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778C9" w14:textId="77777777" w:rsidR="00FD4C40" w:rsidRDefault="00000000">
            <w:r>
              <w:rPr>
                <w:sz w:val="22"/>
                <w:szCs w:val="22"/>
              </w:rPr>
              <w:t>DevOps-инженер (on-premise развёртывание)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16613" w14:textId="77777777" w:rsidR="00FD4C40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5C370" w14:textId="77777777" w:rsidR="00FD4C40" w:rsidRDefault="00000000">
            <w:r>
              <w:rPr>
                <w:sz w:val="22"/>
                <w:szCs w:val="22"/>
              </w:rPr>
              <w:t>Senior</w:t>
            </w:r>
          </w:p>
        </w:tc>
      </w:tr>
      <w:tr w:rsidR="00FD4C40" w14:paraId="0E90558A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E0C1E" w14:textId="77777777" w:rsidR="00FD4C40" w:rsidRDefault="00000000">
            <w:r>
              <w:rPr>
                <w:sz w:val="22"/>
                <w:szCs w:val="22"/>
              </w:rPr>
              <w:t>Специалист по информационной безопасности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3B69D" w14:textId="77777777" w:rsidR="00FD4C40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16519" w14:textId="77777777" w:rsidR="00FD4C40" w:rsidRDefault="00000000">
            <w:r>
              <w:rPr>
                <w:sz w:val="22"/>
                <w:szCs w:val="22"/>
              </w:rPr>
              <w:t>Senior</w:t>
            </w:r>
          </w:p>
        </w:tc>
      </w:tr>
      <w:tr w:rsidR="00FD4C40" w14:paraId="68C10290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E405C" w14:textId="77777777" w:rsidR="00FD4C40" w:rsidRDefault="00000000">
            <w:r>
              <w:rPr>
                <w:sz w:val="22"/>
                <w:szCs w:val="22"/>
              </w:rPr>
              <w:t>Бизнес-аналитик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67F039" w14:textId="77777777" w:rsidR="00FD4C40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79CA3" w14:textId="77777777" w:rsidR="00FD4C40" w:rsidRDefault="00000000">
            <w:r>
              <w:rPr>
                <w:sz w:val="22"/>
                <w:szCs w:val="22"/>
              </w:rPr>
              <w:t>Middle/Senior</w:t>
            </w:r>
          </w:p>
        </w:tc>
      </w:tr>
      <w:tr w:rsidR="00FD4C40" w14:paraId="5C738482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C36FD" w14:textId="77777777" w:rsidR="00FD4C40" w:rsidRDefault="00000000">
            <w:r>
              <w:rPr>
                <w:sz w:val="22"/>
                <w:szCs w:val="22"/>
              </w:rPr>
              <w:t>Эксперт по обучению / Consultant (передача экспертизы)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6583C" w14:textId="77777777" w:rsidR="00FD4C40" w:rsidRDefault="00000000">
            <w:r>
              <w:rPr>
                <w:sz w:val="22"/>
                <w:szCs w:val="22"/>
              </w:rPr>
              <w:t>1–2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3C4D9" w14:textId="77777777" w:rsidR="00FD4C40" w:rsidRDefault="00000000">
            <w:r>
              <w:rPr>
                <w:sz w:val="22"/>
                <w:szCs w:val="22"/>
              </w:rPr>
              <w:t>Senior</w:t>
            </w:r>
          </w:p>
        </w:tc>
      </w:tr>
    </w:tbl>
    <w:p w14:paraId="56AF5A99" w14:textId="77777777" w:rsidR="00FD4C40" w:rsidRDefault="00FD4C40">
      <w:pPr>
        <w:spacing w:after="120"/>
      </w:pPr>
    </w:p>
    <w:p w14:paraId="20338496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Все специалисты должны иметь подтверждённый опыт работы с платформами класса API Management и/или iPaaS, включая опыт именно on-premise развёртывания в проектах масштаба, сопоставимого с масштабом Банка.</w:t>
      </w:r>
    </w:p>
    <w:p w14:paraId="737242A2" w14:textId="77777777" w:rsidR="00FD4C40" w:rsidRDefault="00000000">
      <w:r>
        <w:br w:type="page"/>
      </w:r>
    </w:p>
    <w:p w14:paraId="01734062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lastRenderedPageBreak/>
        <w:t>10. Требования по информационной безопасности</w:t>
      </w:r>
    </w:p>
    <w:p w14:paraId="3D79A8EC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10.1 Общие требования</w:t>
      </w:r>
    </w:p>
    <w:p w14:paraId="7F523DD9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Платформа должна обеспечивать защиту информации от несанкционированного доступа, изменения, уничтожения, блокирования, копирования и распространения;</w:t>
      </w:r>
    </w:p>
    <w:p w14:paraId="111BAA8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Должны быть обеспечены конфиденциальность, целостность и доступность данных, проходящих через платформу, в соответствии с требованиями раздела 13 (SLA/SLO);</w:t>
      </w:r>
    </w:p>
    <w:p w14:paraId="6D69470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Решение и процессы его эксплуатации должны соответствовать принципам стандартов ISO/IEC 27001 и ISO/IEC 27005, а также применимым требованиям Национального банка Таджикистана по обеспечению информационной безопасности в кредитных организациях.</w:t>
      </w:r>
    </w:p>
    <w:p w14:paraId="7AD66613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10.2 Защита данных, проходящих через платформу</w:t>
      </w:r>
    </w:p>
    <w:p w14:paraId="0E16F040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Шифрование данных «на диске» (AES-256 либо эквивалент) и при передаче (TLS 1.2 и выше);</w:t>
      </w:r>
    </w:p>
    <w:p w14:paraId="210B78C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Запрет хранения персональных данных и банковской тайны в открытом виде в логах платформы;</w:t>
      </w:r>
    </w:p>
    <w:p w14:paraId="5025469B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Маскирование чувствительных данных в непродуктивных средах (см. раздел 11.2);</w:t>
      </w:r>
    </w:p>
    <w:p w14:paraId="411279C2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Возможность псевдонимизации данных при передаче в аналитические/мониторинговые системы.</w:t>
      </w:r>
    </w:p>
    <w:p w14:paraId="7CD5CBF5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10.3 Управление доступом</w:t>
      </w:r>
    </w:p>
    <w:p w14:paraId="30FE76F5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Ролевая модель доступа (RBAC) с разграничением бизнес-пользователей, администраторов, аналитиков, технологических и интеграционных сервисных учётных записей;</w:t>
      </w:r>
    </w:p>
    <w:p w14:paraId="2D265FB5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Обязательная интеграция с корпоративным каталогом Банка (LDAP/AD) и/или системой управления идентификацией;</w:t>
      </w:r>
    </w:p>
    <w:p w14:paraId="3432804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Обязательная многофакторная аутентификация (MFA) для администраторов и привилегированных пользователей;</w:t>
      </w:r>
    </w:p>
    <w:p w14:paraId="106F7E8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Запрет использования общих (неперсонифицированных) учётных записей;</w:t>
      </w:r>
    </w:p>
    <w:p w14:paraId="2056DCD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Журналирование всех привилегированных действий.</w:t>
      </w:r>
    </w:p>
    <w:p w14:paraId="3F63C481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10.4 Журналирование и мониторинг</w:t>
      </w:r>
    </w:p>
    <w:p w14:paraId="717667D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Централизованная передача логов платформы в SIEM/SOC Банка;</w:t>
      </w:r>
    </w:p>
    <w:p w14:paraId="667BBC2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Обязательному логированию подлежат: входы и неуспешные попытки входа, изменение ролей и прав доступа, публикация/изменение/отзыв API, изменение политик безопасности и маршрутизации, экспорт конфигураций и данных;</w:t>
      </w:r>
    </w:p>
    <w:p w14:paraId="33ED7ABC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Логи должны содержать дату и время, идентификатор пользователя, IP-адрес, тип операции и идентификатор объекта;</w:t>
      </w:r>
    </w:p>
    <w:p w14:paraId="388A46FA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Глубина хранения логов — не менее 12 месяцев.</w:t>
      </w:r>
    </w:p>
    <w:p w14:paraId="2BD1C601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10.5 Защита от утечки данных</w:t>
      </w:r>
    </w:p>
    <w:p w14:paraId="29A5DE65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Контроль и журналирование массовых выгрузок конфигураций и данных через API/портал;</w:t>
      </w:r>
    </w:p>
    <w:p w14:paraId="5B518DD9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Ограничение доступа к API по принципу наименьших привилегий;</w:t>
      </w:r>
    </w:p>
    <w:p w14:paraId="62BBB0C5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Ограничение и контроль передачи данных во внешние (в том числе публичные) каналы и API.</w:t>
      </w:r>
    </w:p>
    <w:p w14:paraId="557967D5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10.6 Безопасность интеграций</w:t>
      </w:r>
    </w:p>
    <w:p w14:paraId="2D91304B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Все интеграции платформы с системами Банка (АБС, DWH, каналы коммуникаций и др.) должны осуществляться через защищённые каналы (TLS 1.2+), с использованием сервисных учётных записей и разграничением прав доступа;</w:t>
      </w:r>
    </w:p>
    <w:p w14:paraId="35F685E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Обязательна взаимная аутентификация между компонентами платформы (mTLS или эквивалент);</w:t>
      </w:r>
    </w:p>
    <w:p w14:paraId="4D7B2ABC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Должны быть реализованы механизмы контроля целостности передаваемых данных и защиты от replay-атак.</w:t>
      </w:r>
    </w:p>
    <w:p w14:paraId="09233CE6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lastRenderedPageBreak/>
        <w:t>10.7 Управление уязвимостями</w:t>
      </w:r>
    </w:p>
    <w:p w14:paraId="27E40BCA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До ввода в промышленную эксплуатацию должны быть проведены: сканирование уязвимостей, анализ зависимостей используемых компонентов, тестирование на проникновение (пентест);</w:t>
      </w:r>
    </w:p>
    <w:p w14:paraId="72A4FBC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Критические уязвимости должны быть устранены до ввода в промышленную эксплуатацию;</w:t>
      </w:r>
    </w:p>
    <w:p w14:paraId="3E5AFDD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После ввода в эксплуатацию платформа должна быть включена в процесс регулярного сканирования уязвимостей Банка.</w:t>
      </w:r>
    </w:p>
    <w:p w14:paraId="43CA16EC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10.8 Безопасность разработки (применимо при наличии кастомной логики/скриптов на платформе)</w:t>
      </w:r>
    </w:p>
    <w:p w14:paraId="3ADE3D7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Обязательный Code Review для кастомной логики интеграционных потоков;</w:t>
      </w:r>
    </w:p>
    <w:p w14:paraId="7AE7EC7E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Статический и динамический анализ кода (SAST/DAST) для компонентов, разрабатываемых в рамках проекта;</w:t>
      </w:r>
    </w:p>
    <w:p w14:paraId="2E6892D0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Запрет использования жёстко заданных паролей, ключей доступа, токенов и иных учётных данных в коде, конфигурациях, скриптах развёртывания и CI/CD-пайплайнах;</w:t>
      </w:r>
    </w:p>
    <w:p w14:paraId="7CD504C2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Хранение секретов исключительно в защищённом хранилище секретов (vault).</w:t>
      </w:r>
    </w:p>
    <w:p w14:paraId="13248675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10.9 Требования к Исполнителю по ИБ</w:t>
      </w:r>
    </w:p>
    <w:p w14:paraId="7B46F34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Исполнитель обязан подписать соглашение о неразглашении (NDA) до получения доступа к детальной архитектурной и интеграционной информации Банка;</w:t>
      </w:r>
    </w:p>
    <w:p w14:paraId="6BEF83D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Исполнитель обязан предоставить архитектурную схему решения с указанием потоков данных между компонентами платформы и системами Банка;</w:t>
      </w:r>
    </w:p>
    <w:p w14:paraId="5EA0DC6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Исполнитель обязан предоставить отчёт по результатам оценки ИБ решения (по результатам сканирования уязвимостей/пентеста) и документацию по безопасной настройке платформы;</w:t>
      </w:r>
    </w:p>
    <w:p w14:paraId="5C33BEB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Исполнитель обязан обеспечить отсутствие встроенных (недокументированных) учётных записей, бэкдоров и иных скрытых механизмов доступа к платформе и данным Банка.</w:t>
      </w:r>
    </w:p>
    <w:p w14:paraId="4828833E" w14:textId="77777777" w:rsidR="00FD4C40" w:rsidRDefault="00000000">
      <w:r>
        <w:br w:type="page"/>
      </w:r>
    </w:p>
    <w:p w14:paraId="553FB8AA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lastRenderedPageBreak/>
        <w:t>11. Требования к инфраструктуре, средам и отказоустойчивости</w:t>
      </w:r>
    </w:p>
    <w:p w14:paraId="089C351E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11.1 Технологический стек и совместимость</w:t>
      </w:r>
    </w:p>
    <w:p w14:paraId="6BAE6DD4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В качестве ориентира для оценки совместимости решения с текущим технологическим ландшафтом Банка приводится предпочтительный стек. Отклонение от предпочтительного стека не является основанием для отказа в участии, но должно быть обосновано участником:</w:t>
      </w:r>
    </w:p>
    <w:p w14:paraId="1DB8451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операционная система — Linux (предпочтительно);</w:t>
      </w:r>
    </w:p>
    <w:p w14:paraId="41406757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поддержка развёртывания в Kubernetes (предпочтительно);</w:t>
      </w:r>
    </w:p>
    <w:p w14:paraId="5EC94D7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система управления базами данных — реляционная СУБД, предпочтительно PostgreSQL или совместимая с ней;</w:t>
      </w:r>
    </w:p>
    <w:p w14:paraId="6BADDEC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совместимость со стеком мониторинга Банка (Pandora) и каталогом идентификации (LDAP/AD, Keycloak или эквивалент).</w:t>
      </w:r>
    </w:p>
    <w:p w14:paraId="0847EDCF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11.2 Среды эксплуатации</w:t>
      </w:r>
    </w:p>
    <w:p w14:paraId="4A7AC13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 рамках внедрения должны быть развёрнуты и настроены не менее трёх сред: разработки (Dev), тестирования (Test/Preprod) и продуктивной (Prod);</w:t>
      </w:r>
    </w:p>
    <w:p w14:paraId="625247F8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На непродуктивных средах (Dev/Test) должны использоваться обезличенные (маскированные) данные — использование реальных персональных и банковских данных на непродуктивных средах не допускается;</w:t>
      </w:r>
    </w:p>
    <w:p w14:paraId="099FE6C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Ответственность за первичную подготовку серверов и базового системного ПО распределяется между Банком и Исполнителем и фиксируется в договоре.</w:t>
      </w:r>
    </w:p>
    <w:p w14:paraId="56648F5F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11.3 Резервное копирование и отказоустойчивость</w:t>
      </w:r>
    </w:p>
    <w:p w14:paraId="6ADD02C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Решение должно предусматривать возможность резервного копирования и восстановления конфигураций, метаданных и данных платформы в ручном и автоматизированном режимах;</w:t>
      </w:r>
    </w:p>
    <w:p w14:paraId="3BBF9EC0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Резервное копирование должно выполняться без снижения производительности и доступности платформы для пользователей (в согласованное окно вне рабочего времени);</w:t>
      </w:r>
    </w:p>
    <w:p w14:paraId="4139F029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Резервные копии должны храниться в зашифрованном виде, быть защищены от несанкционированного доступа и проходить тест восстановления не реже одного раза в год;</w:t>
      </w:r>
    </w:p>
    <w:p w14:paraId="66BF288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Исполнитель обязан предложить целевые показатели RTO (время восстановления) и RPO (точка восстановления данных) для платформы и согласовать их с Банком до ввода в промышленную эксплуатацию;</w:t>
      </w:r>
    </w:p>
    <w:p w14:paraId="4E821EB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Целевая архитектура платформы должна допускать последующее развитие до режима полной отказоустойчивости (исключение простоев и потери данных при сбоях) по мере роста нагрузки.</w:t>
      </w:r>
    </w:p>
    <w:p w14:paraId="70E0B58E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11.4 Расчёт инфраструктуры (sizing)</w:t>
      </w:r>
    </w:p>
    <w:p w14:paraId="77A20470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Исполнитель обязан определить и обосновать характеристики серверного оборудования для каждой среды эксплуатации платформы (платформа/тип сервера, количество процессорных ядер, объём оперативной памяти, объём дискового пространства, требования к пропускной способности сети) на основе заявленной и прогнозной нагрузки Банка;</w:t>
      </w:r>
    </w:p>
    <w:p w14:paraId="1D9146A2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Предварительные оценки характеристик инфраструктуры должны быть предоставлены Банку в составе коммерческого предложения; детальный расчёт — на Этапе 1 «Foundation» (раздел 7).</w:t>
      </w:r>
    </w:p>
    <w:p w14:paraId="694F77C3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11.5 Языковые требования</w:t>
      </w:r>
    </w:p>
    <w:p w14:paraId="28B2558C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Пользовательский интерфейс портала разработчика, консоли администрирования и ключевые элементы платформы должны поддерживать русский язык;</w:t>
      </w:r>
    </w:p>
    <w:p w14:paraId="5C88B04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Вся документация, подготавливаемая в рамках проекта (архитектурная, эксплуатационная, руководство пользователя, руководство администратора), должна быть представлена на русском языке.</w:t>
      </w:r>
    </w:p>
    <w:p w14:paraId="02E06F04" w14:textId="77777777" w:rsidR="00FD4C40" w:rsidRDefault="00000000">
      <w:r>
        <w:br w:type="page"/>
      </w:r>
    </w:p>
    <w:p w14:paraId="770F9549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lastRenderedPageBreak/>
        <w:t>12. Требования к лицензированию и совокупной стоимости владения</w:t>
      </w:r>
    </w:p>
    <w:p w14:paraId="2BDF1180" w14:textId="77777777" w:rsidR="00FD4C40" w:rsidRDefault="00000000">
      <w:pPr>
        <w:pStyle w:val="a4"/>
        <w:numPr>
          <w:ilvl w:val="0"/>
          <w:numId w:val="7"/>
        </w:numPr>
        <w:spacing w:after="80"/>
      </w:pPr>
      <w:r>
        <w:rPr>
          <w:sz w:val="22"/>
          <w:szCs w:val="22"/>
        </w:rPr>
        <w:t>Участник обязан представить прозрачную и детализированную лицензионную модель (подписка / перпетуальная лицензия / open-source с платной поддержкой) с указанием единицы тарификации (количество API, узлов/нод, пользователей портала, объём трафика и т.д.);</w:t>
      </w:r>
    </w:p>
    <w:p w14:paraId="27AF2F32" w14:textId="77777777" w:rsidR="00FD4C40" w:rsidRDefault="00000000">
      <w:pPr>
        <w:pStyle w:val="a4"/>
        <w:numPr>
          <w:ilvl w:val="0"/>
          <w:numId w:val="7"/>
        </w:numPr>
        <w:spacing w:after="80"/>
      </w:pPr>
      <w:r>
        <w:rPr>
          <w:sz w:val="22"/>
          <w:szCs w:val="22"/>
        </w:rPr>
        <w:t>Участник обязан указать полную совокупную стоимость владения (TCO) на горизонте не менее 3 лет, включая: стоимость лицензий, стоимость внедрения по этапам, стоимость обучения и построения центра компетенций, стоимость последующей вендорской поддержки;</w:t>
      </w:r>
    </w:p>
    <w:p w14:paraId="06B266E3" w14:textId="77777777" w:rsidR="00FD4C40" w:rsidRDefault="00000000">
      <w:pPr>
        <w:pStyle w:val="a4"/>
        <w:numPr>
          <w:ilvl w:val="0"/>
          <w:numId w:val="7"/>
        </w:numPr>
        <w:spacing w:after="80"/>
      </w:pPr>
      <w:r>
        <w:rPr>
          <w:sz w:val="22"/>
          <w:szCs w:val="22"/>
        </w:rPr>
        <w:t>Отсутствие Vendor-Lock является обязательным требованием — Исполнитель должен предоставить Банку доступ к конфигурациям решения, позволяющий дальнейшую самостоятельную эксплуатацию и развитие платформы силами внутреннего центра компетенций без обязательной постоянной зависимости от Исполнителя.</w:t>
      </w:r>
    </w:p>
    <w:p w14:paraId="0521BE27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13. Показатели качества услуг (SLA/SLO)</w:t>
      </w:r>
    </w:p>
    <w:p w14:paraId="7A888DAB" w14:textId="77777777" w:rsidR="00FD4C40" w:rsidRDefault="00000000">
      <w:pPr>
        <w:spacing w:after="120"/>
      </w:pPr>
      <w:r>
        <w:rPr>
          <w:sz w:val="22"/>
          <w:szCs w:val="22"/>
        </w:rPr>
        <w:t>Поддержка платформы на этапах промышленной эксплуатации и сопровождения (Этап 4) должна соответствовать следующим минимальным требованиям: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3000"/>
        <w:gridCol w:w="3000"/>
      </w:tblGrid>
      <w:tr w:rsidR="00FD4C40" w14:paraId="2A866CBE" w14:textId="77777777">
        <w:trPr>
          <w:tblHeader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FDF77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Класс инцидента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CCC4B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Время реакции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D640F3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Время восстановления</w:t>
            </w:r>
          </w:p>
        </w:tc>
      </w:tr>
      <w:tr w:rsidR="00FD4C40" w14:paraId="4607D911" w14:textId="77777777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66CED" w14:textId="77777777" w:rsidR="00FD4C40" w:rsidRDefault="00000000">
            <w:r>
              <w:rPr>
                <w:sz w:val="22"/>
                <w:szCs w:val="22"/>
              </w:rPr>
              <w:t>P1 (Critical)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D608B" w14:textId="77777777" w:rsidR="00FD4C40" w:rsidRDefault="00000000">
            <w:r>
              <w:rPr>
                <w:sz w:val="22"/>
                <w:szCs w:val="22"/>
              </w:rPr>
              <w:t>≤ 60 минут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D80EE" w14:textId="77777777" w:rsidR="00FD4C40" w:rsidRDefault="00000000">
            <w:r>
              <w:rPr>
                <w:sz w:val="22"/>
                <w:szCs w:val="22"/>
              </w:rPr>
              <w:t>≤ 4 часа</w:t>
            </w:r>
          </w:p>
        </w:tc>
      </w:tr>
      <w:tr w:rsidR="00FD4C40" w14:paraId="7E3560A6" w14:textId="77777777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F3A44" w14:textId="77777777" w:rsidR="00FD4C40" w:rsidRDefault="00000000">
            <w:r>
              <w:rPr>
                <w:sz w:val="22"/>
                <w:szCs w:val="22"/>
              </w:rPr>
              <w:t>P2 (High)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B1B6B" w14:textId="77777777" w:rsidR="00FD4C40" w:rsidRDefault="00000000">
            <w:r>
              <w:rPr>
                <w:sz w:val="22"/>
                <w:szCs w:val="22"/>
              </w:rPr>
              <w:t>≤ 2 часа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7B41C" w14:textId="77777777" w:rsidR="00FD4C40" w:rsidRDefault="00000000">
            <w:r>
              <w:rPr>
                <w:sz w:val="22"/>
                <w:szCs w:val="22"/>
              </w:rPr>
              <w:t>≤ 8 часов</w:t>
            </w:r>
          </w:p>
        </w:tc>
      </w:tr>
      <w:tr w:rsidR="00FD4C40" w14:paraId="135FE966" w14:textId="77777777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9AF46" w14:textId="77777777" w:rsidR="00FD4C40" w:rsidRDefault="00000000">
            <w:r>
              <w:rPr>
                <w:sz w:val="22"/>
                <w:szCs w:val="22"/>
              </w:rPr>
              <w:t>P3 (Medium)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5EAB8" w14:textId="77777777" w:rsidR="00FD4C40" w:rsidRDefault="00000000">
            <w:r>
              <w:rPr>
                <w:sz w:val="22"/>
                <w:szCs w:val="22"/>
              </w:rPr>
              <w:t>≤ 4 часа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A69F6" w14:textId="77777777" w:rsidR="00FD4C40" w:rsidRDefault="00000000">
            <w:r>
              <w:rPr>
                <w:sz w:val="22"/>
                <w:szCs w:val="22"/>
              </w:rPr>
              <w:t>≤ 1 рабочий день</w:t>
            </w:r>
          </w:p>
        </w:tc>
      </w:tr>
      <w:tr w:rsidR="00FD4C40" w14:paraId="2AE479EA" w14:textId="77777777"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9982A" w14:textId="77777777" w:rsidR="00FD4C40" w:rsidRDefault="00000000">
            <w:r>
              <w:rPr>
                <w:sz w:val="22"/>
                <w:szCs w:val="22"/>
              </w:rPr>
              <w:t>P4 (Low)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9F603E" w14:textId="77777777" w:rsidR="00FD4C40" w:rsidRDefault="00000000">
            <w:r>
              <w:rPr>
                <w:sz w:val="22"/>
                <w:szCs w:val="22"/>
              </w:rPr>
              <w:t>≤ 1 рабочий день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C1452" w14:textId="77777777" w:rsidR="00FD4C40" w:rsidRDefault="00000000">
            <w:r>
              <w:rPr>
                <w:sz w:val="22"/>
                <w:szCs w:val="22"/>
              </w:rPr>
              <w:t>По согласованию</w:t>
            </w:r>
          </w:p>
        </w:tc>
      </w:tr>
    </w:tbl>
    <w:p w14:paraId="1A25BD9B" w14:textId="77777777" w:rsidR="00FD4C40" w:rsidRDefault="00FD4C40">
      <w:pPr>
        <w:spacing w:after="120"/>
      </w:pPr>
    </w:p>
    <w:p w14:paraId="34E7B49B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Дополнительно Исполнитель обязан обеспечить прогнозируемое и подтверждённое сокращение времени создания новых интеграций (например, дни вместо недель для внутренних интеграций, часы вместо дней — для идентификации проблем) как измеримый результат внедрения платформы.</w:t>
      </w:r>
    </w:p>
    <w:p w14:paraId="38087B38" w14:textId="77777777" w:rsidR="00FD4C40" w:rsidRDefault="00000000">
      <w:r>
        <w:br w:type="page"/>
      </w:r>
    </w:p>
    <w:p w14:paraId="386BF62D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lastRenderedPageBreak/>
        <w:t>14. Порядок приёмки и критерии приёмки решения</w:t>
      </w:r>
    </w:p>
    <w:p w14:paraId="20CFE63B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14.1 Порядок приёмки по этапам</w:t>
      </w:r>
    </w:p>
    <w:p w14:paraId="62C01CA7" w14:textId="77777777" w:rsidR="00FD4C40" w:rsidRDefault="00000000">
      <w:pPr>
        <w:spacing w:after="120"/>
      </w:pPr>
      <w:r>
        <w:rPr>
          <w:sz w:val="22"/>
          <w:szCs w:val="22"/>
        </w:rPr>
        <w:t>Приёмка результатов проекта осуществляется поэтапно, синхронизировано с этапами реализации (раздел 7):</w:t>
      </w:r>
    </w:p>
    <w:p w14:paraId="7F182DD9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 итогам Этапа 1 «Foundation» — приёмка развёрнутой и настроенной платформы, согласованной архитектуры и стандартов;</w:t>
      </w:r>
    </w:p>
    <w:p w14:paraId="5DA3CF59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 итогам Этапа 2 «Prove of Value» — приёмка результатов пилотных интеграций и оценка достижения критериев контрольной точки (Go/No-Go, раздел 7); является основанием для решения о переходе к Этапу 3;</w:t>
      </w:r>
    </w:p>
    <w:p w14:paraId="70566A5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по итогам Этапа 3 «Running» — приёмка платформы в промышленную эксплуатацию в полном объёме.</w:t>
      </w:r>
    </w:p>
    <w:p w14:paraId="3E3B543E" w14:textId="77777777" w:rsidR="00FD4C40" w:rsidRDefault="00000000">
      <w:pPr>
        <w:spacing w:after="120"/>
      </w:pPr>
      <w:r>
        <w:rPr>
          <w:b/>
          <w:bCs/>
          <w:sz w:val="22"/>
          <w:szCs w:val="22"/>
        </w:rPr>
        <w:t>14.2 Критерии приёмки решения</w:t>
      </w:r>
    </w:p>
    <w:p w14:paraId="051B9BEE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Результат (соответствующего этапа) считается принятым Банком при выполнении следующих условий:</w:t>
      </w:r>
    </w:p>
    <w:p w14:paraId="0F399EEE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успешное прохождение технической демонстрации решения на этапе оценки заявок (раздел 8) — для решения о допуске к дальнейшему участию в Тендере;</w:t>
      </w:r>
    </w:p>
    <w:p w14:paraId="3092BD0B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достижение измеримых критериев контрольной точки Этапа 2 «Prove of Value» (раздел 7) — для решения о переходе к полномасштабному развёртыванию;</w:t>
      </w:r>
    </w:p>
    <w:p w14:paraId="086B2BC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соответствие функциональным требованиям раздела 6 и требованиям ИБ раздела 10;</w:t>
      </w:r>
    </w:p>
    <w:p w14:paraId="127A8660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соответствие показателям SLA/SLO раздела 13 по итогам опытной/промышленной эксплуатации;</w:t>
      </w:r>
    </w:p>
    <w:p w14:paraId="0181BCA3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отсутствие критических дефектов, блокирующих промышленную эксплуатацию;</w:t>
      </w:r>
    </w:p>
    <w:p w14:paraId="692E6FA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передача Банку полного комплекта документации на русском языке (раздел 11.5) и материалов центра компетенций;</w:t>
      </w:r>
    </w:p>
    <w:p w14:paraId="357F8ECD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успешное прохождение приёмочных испытаний (UAT) представителями Банка.</w:t>
      </w:r>
    </w:p>
    <w:p w14:paraId="799627EF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t>15. Артефакты на выходе</w:t>
      </w:r>
    </w:p>
    <w:p w14:paraId="1086F762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Развёрнутая и настроенная on-premise платформа APIM &amp; iPaaS во всех необходимых средах (dev/test/prod) в контуре Банка;</w:t>
      </w:r>
    </w:p>
    <w:p w14:paraId="24CD324F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Целевая архитектурная документация (as-is / to-be) и согласованные стандарты API и интеграций;</w:t>
      </w:r>
    </w:p>
    <w:p w14:paraId="6F0FD404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Опубликованный каталог API на внутреннем и внешнем портале разработчика;</w:t>
      </w:r>
    </w:p>
    <w:p w14:paraId="4D459D0E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Реализованные и протестированные интеграционные потоки в приоритетном бизнес-домене;</w:t>
      </w:r>
    </w:p>
    <w:p w14:paraId="02A708D1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План и материалы построения центра компетенций Банка, включая программу обучения;</w:t>
      </w:r>
    </w:p>
    <w:p w14:paraId="5D09EE86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Регламенты, runbook'и и эксплуатационная документация;</w:t>
      </w:r>
    </w:p>
    <w:p w14:paraId="61107827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Отчёты о выполнении SLA/SLO по этапам проекта;</w:t>
      </w:r>
    </w:p>
    <w:p w14:paraId="4FDE491B" w14:textId="77777777" w:rsidR="00FD4C40" w:rsidRDefault="00000000">
      <w:pPr>
        <w:pStyle w:val="a4"/>
        <w:numPr>
          <w:ilvl w:val="0"/>
          <w:numId w:val="5"/>
        </w:numPr>
        <w:spacing w:after="80"/>
      </w:pPr>
      <w:r>
        <w:rPr>
          <w:sz w:val="22"/>
          <w:szCs w:val="22"/>
        </w:rPr>
        <w:t>План дальнейшей модернизации монолитных систем и масштабирования платформы на всю организацию.</w:t>
      </w:r>
    </w:p>
    <w:p w14:paraId="1DA781F4" w14:textId="77777777" w:rsidR="00FD4C40" w:rsidRDefault="00000000">
      <w:r>
        <w:br w:type="page"/>
      </w:r>
    </w:p>
    <w:p w14:paraId="3E312BC2" w14:textId="77777777" w:rsidR="00FD4C40" w:rsidRDefault="00000000">
      <w:pPr>
        <w:pStyle w:val="2"/>
        <w:spacing w:before="240" w:after="160"/>
      </w:pPr>
      <w:r>
        <w:rPr>
          <w:b/>
          <w:bCs/>
          <w:color w:val="000000"/>
        </w:rPr>
        <w:lastRenderedPageBreak/>
        <w:t>16. Критерии оценки тендерных предложений</w:t>
      </w:r>
    </w:p>
    <w:p w14:paraId="7F687B34" w14:textId="77777777" w:rsidR="00FD4C40" w:rsidRDefault="00000000">
      <w:pPr>
        <w:spacing w:after="120"/>
      </w:pPr>
      <w:r>
        <w:rPr>
          <w:sz w:val="22"/>
          <w:szCs w:val="22"/>
        </w:rPr>
        <w:t>Оценка предложений проводится Тендерной комиссией по следующим критериям с указанными весовыми коэффициентами: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300"/>
        <w:gridCol w:w="2000"/>
      </w:tblGrid>
      <w:tr w:rsidR="00FD4C40" w14:paraId="3C8D2C62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B6FE7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0CE0D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Критерий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DC075" w14:textId="77777777" w:rsidR="00FD4C40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Вес</w:t>
            </w:r>
          </w:p>
        </w:tc>
      </w:tr>
      <w:tr w:rsidR="00FD4C40" w14:paraId="078F7BF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C8A50" w14:textId="77777777" w:rsidR="00FD4C40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2E952" w14:textId="77777777" w:rsidR="00FD4C40" w:rsidRDefault="00000000">
            <w:r>
              <w:rPr>
                <w:sz w:val="22"/>
                <w:szCs w:val="22"/>
              </w:rPr>
              <w:t>Соответствие требованию on-premise развёртывания и требованиям информационной безопасности (разделы 4 и 10 ТЗ)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DA27D" w14:textId="77777777" w:rsidR="00FD4C40" w:rsidRDefault="00000000">
            <w:pPr>
              <w:jc w:val="center"/>
            </w:pPr>
            <w:r>
              <w:rPr>
                <w:sz w:val="22"/>
                <w:szCs w:val="22"/>
              </w:rPr>
              <w:t>20%</w:t>
            </w:r>
          </w:p>
        </w:tc>
      </w:tr>
      <w:tr w:rsidR="00FD4C40" w14:paraId="744C36E1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46603" w14:textId="77777777" w:rsidR="00FD4C40" w:rsidRDefault="00000000">
            <w:r>
              <w:rPr>
                <w:sz w:val="22"/>
                <w:szCs w:val="22"/>
              </w:rPr>
              <w:t>2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A5769" w14:textId="77777777" w:rsidR="00FD4C40" w:rsidRDefault="00000000">
            <w:r>
              <w:rPr>
                <w:sz w:val="22"/>
                <w:szCs w:val="22"/>
              </w:rPr>
              <w:t>Функциональная полнота платформы (APIM + iPaaS/оркестрация, раздел 6 ТЗ)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981436" w14:textId="77777777" w:rsidR="00FD4C40" w:rsidRDefault="00000000">
            <w:pPr>
              <w:jc w:val="center"/>
            </w:pPr>
            <w:r>
              <w:rPr>
                <w:sz w:val="22"/>
                <w:szCs w:val="22"/>
              </w:rPr>
              <w:t>20%</w:t>
            </w:r>
          </w:p>
        </w:tc>
      </w:tr>
      <w:tr w:rsidR="00FD4C40" w14:paraId="09646C1F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238B8" w14:textId="77777777" w:rsidR="00FD4C40" w:rsidRDefault="00000000">
            <w:r>
              <w:rPr>
                <w:sz w:val="22"/>
                <w:szCs w:val="22"/>
              </w:rPr>
              <w:t>3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A6C2BC" w14:textId="77777777" w:rsidR="00FD4C40" w:rsidRDefault="00000000">
            <w:r>
              <w:rPr>
                <w:sz w:val="22"/>
                <w:szCs w:val="22"/>
              </w:rPr>
              <w:t>Полнота, квалификация и опыт предлагаемой команды (раздел 9 ТЗ)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9829B" w14:textId="77777777" w:rsidR="00FD4C40" w:rsidRDefault="00000000">
            <w:pPr>
              <w:jc w:val="center"/>
            </w:pPr>
            <w:r>
              <w:rPr>
                <w:sz w:val="22"/>
                <w:szCs w:val="22"/>
              </w:rPr>
              <w:t>15%</w:t>
            </w:r>
          </w:p>
        </w:tc>
      </w:tr>
      <w:tr w:rsidR="00FD4C40" w14:paraId="6D063985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94A5D2" w14:textId="77777777" w:rsidR="00FD4C40" w:rsidRDefault="00000000">
            <w:r>
              <w:rPr>
                <w:sz w:val="22"/>
                <w:szCs w:val="22"/>
              </w:rPr>
              <w:t>4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A4AD9" w14:textId="77777777" w:rsidR="00FD4C40" w:rsidRDefault="00000000">
            <w:r>
              <w:rPr>
                <w:sz w:val="22"/>
                <w:szCs w:val="22"/>
              </w:rPr>
              <w:t>Подход к передаче экспертизы, обучению и построению внутреннего центра компетенций Банка (раздел 5.2 и 7 ТЗ)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62D57" w14:textId="77777777" w:rsidR="00FD4C40" w:rsidRDefault="00000000">
            <w:pPr>
              <w:jc w:val="center"/>
            </w:pPr>
            <w:r>
              <w:rPr>
                <w:sz w:val="22"/>
                <w:szCs w:val="22"/>
              </w:rPr>
              <w:t>15%</w:t>
            </w:r>
          </w:p>
        </w:tc>
      </w:tr>
      <w:tr w:rsidR="00FD4C40" w14:paraId="07C32046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99822" w14:textId="77777777" w:rsidR="00FD4C40" w:rsidRDefault="00000000">
            <w:r>
              <w:rPr>
                <w:sz w:val="22"/>
                <w:szCs w:val="22"/>
              </w:rPr>
              <w:t>5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E0AB9" w14:textId="77777777" w:rsidR="00FD4C40" w:rsidRDefault="00000000">
            <w:r>
              <w:rPr>
                <w:sz w:val="22"/>
                <w:szCs w:val="22"/>
              </w:rPr>
              <w:t>Совокупная стоимость владения (TCO) на горизонте 3 лет (раздел 12 ТЗ)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E21C9" w14:textId="77777777" w:rsidR="00FD4C40" w:rsidRDefault="00000000">
            <w:pPr>
              <w:jc w:val="center"/>
            </w:pPr>
            <w:r>
              <w:rPr>
                <w:sz w:val="22"/>
                <w:szCs w:val="22"/>
              </w:rPr>
              <w:t>20%</w:t>
            </w:r>
          </w:p>
        </w:tc>
      </w:tr>
      <w:tr w:rsidR="00FD4C40" w14:paraId="5BD3065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9C178" w14:textId="77777777" w:rsidR="00FD4C40" w:rsidRDefault="00000000">
            <w:r>
              <w:rPr>
                <w:sz w:val="22"/>
                <w:szCs w:val="22"/>
              </w:rPr>
              <w:t>6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00098" w14:textId="77777777" w:rsidR="00FD4C40" w:rsidRDefault="00000000">
            <w:r>
              <w:rPr>
                <w:sz w:val="22"/>
                <w:szCs w:val="22"/>
              </w:rPr>
              <w:t>SLA/SLO и процессы реагирования на этапе сопровождения (раздел 13 ТЗ)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3A58D" w14:textId="77777777" w:rsidR="00FD4C40" w:rsidRDefault="00000000">
            <w:pPr>
              <w:jc w:val="center"/>
            </w:pPr>
            <w:r>
              <w:rPr>
                <w:sz w:val="22"/>
                <w:szCs w:val="22"/>
              </w:rPr>
              <w:t>10%</w:t>
            </w:r>
          </w:p>
        </w:tc>
      </w:tr>
    </w:tbl>
    <w:p w14:paraId="49A7E617" w14:textId="77777777" w:rsidR="00FD4C40" w:rsidRDefault="00FD4C40">
      <w:pPr>
        <w:spacing w:after="120"/>
      </w:pPr>
    </w:p>
    <w:p w14:paraId="4932E50F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Успешное прохождение технической демонстрации решения (раздел 8) является обязательным условием допуска заявки к дальнейшей оценке по критериям настоящей таблицы, но не образует отдельного взвешенного критерия — демонстрация оценивается по принципу «пройдено / не пройдено».</w:t>
      </w:r>
    </w:p>
    <w:p w14:paraId="408A4F15" w14:textId="77777777" w:rsidR="00FD4C40" w:rsidRDefault="00FD4C40">
      <w:pPr>
        <w:spacing w:after="120"/>
      </w:pPr>
    </w:p>
    <w:p w14:paraId="1508C248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Отсутствие Vendor-Lock является обязательным требованием (раздел 12 ТЗ) и проверяется в рамках оценки критерия №2 «Функциональная полнота платформы»; заявка, не подтверждающая выполнение данного требования, признаётся не соответствующей условиям Тендера.</w:t>
      </w:r>
    </w:p>
    <w:p w14:paraId="0C11FBFB" w14:textId="77777777" w:rsidR="00FD4C40" w:rsidRDefault="00FD4C40">
      <w:pPr>
        <w:spacing w:after="120"/>
      </w:pPr>
    </w:p>
    <w:p w14:paraId="28FC8C06" w14:textId="77777777" w:rsidR="00FD4C40" w:rsidRDefault="00000000">
      <w:pPr>
        <w:spacing w:after="120"/>
      </w:pPr>
      <w:r>
        <w:rPr>
          <w:i/>
          <w:iCs/>
          <w:sz w:val="22"/>
          <w:szCs w:val="22"/>
        </w:rPr>
        <w:t>Полноценная содержательная проверка решения на реальных данных и сценариях Банка выполняется не на этапе оценки заявок, а после заключения договора — в рамках Этапа 2 «Prove of Value» (раздел 7), результаты которого являются контрольной точкой (Go/No-Go) для дальнейшей реализации проекта, но не критерием тендерной оценки.</w:t>
      </w:r>
    </w:p>
    <w:p w14:paraId="7B9492B9" w14:textId="77777777" w:rsidR="009E36AE" w:rsidRDefault="00000000">
      <w:r>
        <w:br w:type="page"/>
      </w:r>
    </w:p>
    <w:p w14:paraId="0DCDCD87" w14:textId="77777777" w:rsidR="009E36AE" w:rsidRDefault="00000000">
      <w:pPr>
        <w:spacing w:after="240"/>
        <w:jc w:val="right"/>
      </w:pPr>
      <w:r>
        <w:rPr>
          <w:b/>
          <w:bCs/>
          <w:sz w:val="22"/>
          <w:szCs w:val="22"/>
        </w:rPr>
        <w:lastRenderedPageBreak/>
        <w:t>Приложение №3 к Тендерной документации</w:t>
      </w:r>
    </w:p>
    <w:p w14:paraId="2B52735C" w14:textId="77777777" w:rsidR="009E36AE" w:rsidRDefault="00000000">
      <w:pPr>
        <w:spacing w:after="60"/>
        <w:jc w:val="center"/>
      </w:pPr>
      <w:r>
        <w:rPr>
          <w:b/>
          <w:bCs/>
          <w:sz w:val="26"/>
          <w:szCs w:val="26"/>
        </w:rPr>
        <w:t>АНТИКОРРУПЦИОННАЯ ДЕКЛАРАЦИЯ УЧАСТНИКА ТЕНДЕРА</w:t>
      </w:r>
    </w:p>
    <w:p w14:paraId="1520568F" w14:textId="77777777" w:rsidR="009E36AE" w:rsidRDefault="00000000">
      <w:pPr>
        <w:spacing w:after="240"/>
        <w:jc w:val="center"/>
      </w:pPr>
      <w:r>
        <w:rPr>
          <w:b/>
          <w:bCs/>
          <w:sz w:val="26"/>
          <w:szCs w:val="26"/>
        </w:rPr>
        <w:t>ОАО «БАНК ЭСХАТА»</w:t>
      </w:r>
    </w:p>
    <w:p w14:paraId="14A56007" w14:textId="77777777" w:rsidR="009E36AE" w:rsidRDefault="00000000">
      <w:pPr>
        <w:spacing w:after="20"/>
      </w:pPr>
      <w:r>
        <w:rPr>
          <w:sz w:val="22"/>
          <w:szCs w:val="22"/>
        </w:rPr>
        <w:t>От _____________________________________</w:t>
      </w:r>
    </w:p>
    <w:p w14:paraId="2761A93D" w14:textId="77777777" w:rsidR="009E36AE" w:rsidRDefault="00000000">
      <w:pPr>
        <w:spacing w:after="160"/>
      </w:pPr>
      <w:r>
        <w:rPr>
          <w:i/>
          <w:iCs/>
        </w:rPr>
        <w:t>(наименование участника тендера)</w:t>
      </w:r>
    </w:p>
    <w:p w14:paraId="68A64194" w14:textId="77777777" w:rsidR="009E36AE" w:rsidRDefault="00000000">
      <w:pPr>
        <w:spacing w:after="160"/>
      </w:pPr>
      <w:r>
        <w:rPr>
          <w:sz w:val="22"/>
          <w:szCs w:val="22"/>
        </w:rPr>
        <w:t>в рамках участия в тендере на создание и внедрение слоя оркестрации API-сервисов (APIM &amp; iPaaS, on-premise)</w:t>
      </w:r>
    </w:p>
    <w:p w14:paraId="4D2EC25A" w14:textId="77777777" w:rsidR="009E36AE" w:rsidRDefault="00000000">
      <w:pPr>
        <w:spacing w:after="160"/>
      </w:pPr>
      <w:r>
        <w:rPr>
          <w:sz w:val="22"/>
          <w:szCs w:val="22"/>
        </w:rPr>
        <w:t>Настоящей декларацией мы заявляем и гарантируем, что в рамках участия в вышеуказанном тендере:</w:t>
      </w:r>
    </w:p>
    <w:p w14:paraId="15E2CCA4" w14:textId="77777777" w:rsidR="009E36AE" w:rsidRDefault="00000000">
      <w:pPr>
        <w:pStyle w:val="a4"/>
        <w:numPr>
          <w:ilvl w:val="0"/>
          <w:numId w:val="8"/>
        </w:numPr>
        <w:spacing w:after="100"/>
      </w:pPr>
      <w:r>
        <w:rPr>
          <w:sz w:val="22"/>
          <w:szCs w:val="22"/>
        </w:rPr>
        <w:t>Не предлагались, не обещались и не передавались никакие денежные средства, подарки, услуги или иные формы поощрения работникам ОАО «Банк Эсхата», членам Тендерной комиссии или иным лицам, принимающим участие в принятии решений по тендеру.</w:t>
      </w:r>
    </w:p>
    <w:p w14:paraId="38D1702B" w14:textId="77777777" w:rsidR="009E36AE" w:rsidRDefault="00000000">
      <w:pPr>
        <w:pStyle w:val="a4"/>
        <w:numPr>
          <w:ilvl w:val="0"/>
          <w:numId w:val="8"/>
        </w:numPr>
        <w:spacing w:after="100"/>
      </w:pPr>
      <w:r>
        <w:rPr>
          <w:sz w:val="22"/>
          <w:szCs w:val="22"/>
        </w:rPr>
        <w:t>Не осуществлялось координированное поведение (сговор) с другими участниками тендера, направленное на искусственное формирование условий, искажение цен или обеспечение победы конкретного лица.</w:t>
      </w:r>
    </w:p>
    <w:p w14:paraId="55C8EB20" w14:textId="77777777" w:rsidR="009E36AE" w:rsidRDefault="00000000">
      <w:pPr>
        <w:pStyle w:val="a4"/>
        <w:numPr>
          <w:ilvl w:val="0"/>
          <w:numId w:val="8"/>
        </w:numPr>
        <w:spacing w:after="100"/>
      </w:pPr>
      <w:r>
        <w:rPr>
          <w:sz w:val="22"/>
          <w:szCs w:val="22"/>
        </w:rPr>
        <w:t>Мы подтверждаем свою осведомлённость о том, что любые коррупционные действия, попытки давления, сокрытие конфликта интересов, а также представление недостоверной информации являются основанием для:</w:t>
      </w:r>
    </w:p>
    <w:p w14:paraId="17F10BBC" w14:textId="77777777" w:rsidR="009E36AE" w:rsidRDefault="00000000">
      <w:pPr>
        <w:pStyle w:val="a4"/>
        <w:numPr>
          <w:ilvl w:val="0"/>
          <w:numId w:val="5"/>
        </w:numPr>
        <w:spacing w:after="80"/>
        <w:ind w:left="960"/>
      </w:pPr>
      <w:r>
        <w:rPr>
          <w:sz w:val="22"/>
          <w:szCs w:val="22"/>
        </w:rPr>
        <w:t>немедленного отклонения тендерной заявки;</w:t>
      </w:r>
    </w:p>
    <w:p w14:paraId="155BEE5C" w14:textId="77777777" w:rsidR="009E36AE" w:rsidRDefault="00000000">
      <w:pPr>
        <w:pStyle w:val="a4"/>
        <w:numPr>
          <w:ilvl w:val="0"/>
          <w:numId w:val="5"/>
        </w:numPr>
        <w:spacing w:after="80"/>
        <w:ind w:left="960"/>
      </w:pPr>
      <w:r>
        <w:rPr>
          <w:sz w:val="22"/>
          <w:szCs w:val="22"/>
        </w:rPr>
        <w:t>отказа в заключении договора или его расторжения;</w:t>
      </w:r>
    </w:p>
    <w:p w14:paraId="02D408B5" w14:textId="77777777" w:rsidR="009E36AE" w:rsidRDefault="00000000">
      <w:pPr>
        <w:pStyle w:val="a4"/>
        <w:numPr>
          <w:ilvl w:val="0"/>
          <w:numId w:val="5"/>
        </w:numPr>
        <w:spacing w:after="80"/>
        <w:ind w:left="960"/>
      </w:pPr>
      <w:r>
        <w:rPr>
          <w:sz w:val="22"/>
          <w:szCs w:val="22"/>
        </w:rPr>
        <w:t>включения в реестр недобросовестных поставщиков Банка;</w:t>
      </w:r>
    </w:p>
    <w:p w14:paraId="1B5EAD98" w14:textId="77777777" w:rsidR="009E36AE" w:rsidRDefault="00000000">
      <w:pPr>
        <w:pStyle w:val="a4"/>
        <w:numPr>
          <w:ilvl w:val="0"/>
          <w:numId w:val="5"/>
        </w:numPr>
        <w:spacing w:after="80"/>
        <w:ind w:left="960"/>
      </w:pPr>
      <w:r>
        <w:rPr>
          <w:sz w:val="22"/>
          <w:szCs w:val="22"/>
        </w:rPr>
        <w:t>уведомления компетентных органов в соответствии с законодательством Республики Таджикистан.</w:t>
      </w:r>
    </w:p>
    <w:p w14:paraId="1A366FA6" w14:textId="77777777" w:rsidR="009E36AE" w:rsidRDefault="00000000">
      <w:pPr>
        <w:pStyle w:val="a4"/>
        <w:numPr>
          <w:ilvl w:val="0"/>
          <w:numId w:val="8"/>
        </w:numPr>
        <w:spacing w:after="100"/>
      </w:pPr>
      <w:r>
        <w:rPr>
          <w:sz w:val="22"/>
          <w:szCs w:val="22"/>
        </w:rPr>
        <w:t>Мы подтверждаем готовность сотрудничать с Банком в случае проведения внутренней проверки, связанной с участием в тендере.</w:t>
      </w:r>
    </w:p>
    <w:p w14:paraId="3565EC1A" w14:textId="77777777" w:rsidR="009E36AE" w:rsidRDefault="00000000">
      <w:pPr>
        <w:pStyle w:val="a4"/>
        <w:numPr>
          <w:ilvl w:val="0"/>
          <w:numId w:val="8"/>
        </w:numPr>
        <w:spacing w:after="100"/>
      </w:pPr>
      <w:r>
        <w:rPr>
          <w:sz w:val="22"/>
          <w:szCs w:val="22"/>
        </w:rPr>
        <w:t>Мы ознакомлены и согласны с антикоррупционной политикой ОАО «Банк Эсхата» и обязуемся соблюдать её положения.</w:t>
      </w:r>
    </w:p>
    <w:p w14:paraId="221F6F26" w14:textId="77777777" w:rsidR="009E36AE" w:rsidRDefault="00000000">
      <w:pPr>
        <w:spacing w:after="240"/>
      </w:pPr>
      <w:r>
        <w:rPr>
          <w:sz w:val="22"/>
          <w:szCs w:val="22"/>
        </w:rPr>
        <w:t>Настоящая декларация является неотъемлемой частью тендерной заявки и подаётся в установленный срок, предусмотренный тендерной документацией.</w:t>
      </w:r>
    </w:p>
    <w:p w14:paraId="2AF7C625" w14:textId="77777777" w:rsidR="009E36AE" w:rsidRDefault="00000000">
      <w:pPr>
        <w:spacing w:after="120"/>
      </w:pPr>
      <w:r>
        <w:rPr>
          <w:sz w:val="22"/>
          <w:szCs w:val="22"/>
        </w:rPr>
        <w:t>Дата: «_» _______________ 20__ г.</w:t>
      </w:r>
    </w:p>
    <w:p w14:paraId="7E793BE6" w14:textId="77777777" w:rsidR="009E36AE" w:rsidRDefault="00000000">
      <w:pPr>
        <w:spacing w:after="120"/>
      </w:pPr>
      <w:r>
        <w:rPr>
          <w:sz w:val="22"/>
          <w:szCs w:val="22"/>
        </w:rPr>
        <w:t>Подпись уполномоченного лица: __________________________</w:t>
      </w:r>
    </w:p>
    <w:p w14:paraId="0BFBEB2E" w14:textId="77777777" w:rsidR="009E36AE" w:rsidRDefault="00000000">
      <w:pPr>
        <w:spacing w:after="120"/>
      </w:pPr>
      <w:r>
        <w:rPr>
          <w:sz w:val="22"/>
          <w:szCs w:val="22"/>
        </w:rPr>
        <w:t>Ф.И.О.: _______________________________________________</w:t>
      </w:r>
    </w:p>
    <w:p w14:paraId="5A7A0A84" w14:textId="77777777" w:rsidR="009E36AE" w:rsidRDefault="00000000">
      <w:pPr>
        <w:spacing w:after="120"/>
      </w:pPr>
      <w:r>
        <w:rPr>
          <w:sz w:val="22"/>
          <w:szCs w:val="22"/>
        </w:rPr>
        <w:t>Должность: ____________________________________________</w:t>
      </w:r>
    </w:p>
    <w:p w14:paraId="16F25CBF" w14:textId="77777777" w:rsidR="009E36AE" w:rsidRDefault="00000000">
      <w:pPr>
        <w:spacing w:after="120"/>
      </w:pPr>
      <w:r>
        <w:rPr>
          <w:sz w:val="22"/>
          <w:szCs w:val="22"/>
        </w:rPr>
        <w:t>М.П. (при наличии)</w:t>
      </w:r>
    </w:p>
    <w:sectPr w:rsidR="009E36AE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6736A"/>
    <w:multiLevelType w:val="hybridMultilevel"/>
    <w:tmpl w:val="DD7C87C2"/>
    <w:lvl w:ilvl="0" w:tplc="BC30252A">
      <w:start w:val="1"/>
      <w:numFmt w:val="decimal"/>
      <w:lvlText w:val="%1."/>
      <w:lvlJc w:val="left"/>
      <w:pPr>
        <w:ind w:left="480" w:hanging="240"/>
      </w:pPr>
    </w:lvl>
    <w:lvl w:ilvl="1" w:tplc="3D80C11E">
      <w:numFmt w:val="decimal"/>
      <w:lvlText w:val=""/>
      <w:lvlJc w:val="left"/>
    </w:lvl>
    <w:lvl w:ilvl="2" w:tplc="4B488F88">
      <w:numFmt w:val="decimal"/>
      <w:lvlText w:val=""/>
      <w:lvlJc w:val="left"/>
    </w:lvl>
    <w:lvl w:ilvl="3" w:tplc="D3D2C770">
      <w:numFmt w:val="decimal"/>
      <w:lvlText w:val=""/>
      <w:lvlJc w:val="left"/>
    </w:lvl>
    <w:lvl w:ilvl="4" w:tplc="C13E21A8">
      <w:numFmt w:val="decimal"/>
      <w:lvlText w:val=""/>
      <w:lvlJc w:val="left"/>
    </w:lvl>
    <w:lvl w:ilvl="5" w:tplc="6D827996">
      <w:numFmt w:val="decimal"/>
      <w:lvlText w:val=""/>
      <w:lvlJc w:val="left"/>
    </w:lvl>
    <w:lvl w:ilvl="6" w:tplc="10AACF24">
      <w:numFmt w:val="decimal"/>
      <w:lvlText w:val=""/>
      <w:lvlJc w:val="left"/>
    </w:lvl>
    <w:lvl w:ilvl="7" w:tplc="4620A0C0">
      <w:numFmt w:val="decimal"/>
      <w:lvlText w:val=""/>
      <w:lvlJc w:val="left"/>
    </w:lvl>
    <w:lvl w:ilvl="8" w:tplc="930E1126">
      <w:numFmt w:val="decimal"/>
      <w:lvlText w:val=""/>
      <w:lvlJc w:val="left"/>
    </w:lvl>
  </w:abstractNum>
  <w:abstractNum w:abstractNumId="1" w15:restartNumberingAfterBreak="0">
    <w:nsid w:val="154C3943"/>
    <w:multiLevelType w:val="hybridMultilevel"/>
    <w:tmpl w:val="F2148ACC"/>
    <w:lvl w:ilvl="0" w:tplc="601C8F28">
      <w:start w:val="1"/>
      <w:numFmt w:val="bullet"/>
      <w:lvlText w:val="•"/>
      <w:lvlJc w:val="left"/>
      <w:pPr>
        <w:ind w:left="480" w:hanging="240"/>
      </w:pPr>
    </w:lvl>
    <w:lvl w:ilvl="1" w:tplc="89482BB8">
      <w:numFmt w:val="decimal"/>
      <w:lvlText w:val=""/>
      <w:lvlJc w:val="left"/>
    </w:lvl>
    <w:lvl w:ilvl="2" w:tplc="BBC031BC">
      <w:numFmt w:val="decimal"/>
      <w:lvlText w:val=""/>
      <w:lvlJc w:val="left"/>
    </w:lvl>
    <w:lvl w:ilvl="3" w:tplc="7D606408">
      <w:numFmt w:val="decimal"/>
      <w:lvlText w:val=""/>
      <w:lvlJc w:val="left"/>
    </w:lvl>
    <w:lvl w:ilvl="4" w:tplc="F65E1BCE">
      <w:numFmt w:val="decimal"/>
      <w:lvlText w:val=""/>
      <w:lvlJc w:val="left"/>
    </w:lvl>
    <w:lvl w:ilvl="5" w:tplc="348C2E7A">
      <w:numFmt w:val="decimal"/>
      <w:lvlText w:val=""/>
      <w:lvlJc w:val="left"/>
    </w:lvl>
    <w:lvl w:ilvl="6" w:tplc="453C7F1E">
      <w:numFmt w:val="decimal"/>
      <w:lvlText w:val=""/>
      <w:lvlJc w:val="left"/>
    </w:lvl>
    <w:lvl w:ilvl="7" w:tplc="0E9011C4">
      <w:numFmt w:val="decimal"/>
      <w:lvlText w:val=""/>
      <w:lvlJc w:val="left"/>
    </w:lvl>
    <w:lvl w:ilvl="8" w:tplc="F4447DFE">
      <w:numFmt w:val="decimal"/>
      <w:lvlText w:val=""/>
      <w:lvlJc w:val="left"/>
    </w:lvl>
  </w:abstractNum>
  <w:abstractNum w:abstractNumId="2" w15:restartNumberingAfterBreak="0">
    <w:nsid w:val="19D35750"/>
    <w:multiLevelType w:val="hybridMultilevel"/>
    <w:tmpl w:val="D644849A"/>
    <w:lvl w:ilvl="0" w:tplc="7E06307A">
      <w:start w:val="1"/>
      <w:numFmt w:val="decimal"/>
      <w:lvlText w:val="%1."/>
      <w:lvlJc w:val="left"/>
      <w:pPr>
        <w:ind w:left="480" w:hanging="240"/>
      </w:pPr>
    </w:lvl>
    <w:lvl w:ilvl="1" w:tplc="48CC4DA0">
      <w:numFmt w:val="decimal"/>
      <w:lvlText w:val=""/>
      <w:lvlJc w:val="left"/>
    </w:lvl>
    <w:lvl w:ilvl="2" w:tplc="4B905550">
      <w:numFmt w:val="decimal"/>
      <w:lvlText w:val=""/>
      <w:lvlJc w:val="left"/>
    </w:lvl>
    <w:lvl w:ilvl="3" w:tplc="6CD82C82">
      <w:numFmt w:val="decimal"/>
      <w:lvlText w:val=""/>
      <w:lvlJc w:val="left"/>
    </w:lvl>
    <w:lvl w:ilvl="4" w:tplc="D55A8C96">
      <w:numFmt w:val="decimal"/>
      <w:lvlText w:val=""/>
      <w:lvlJc w:val="left"/>
    </w:lvl>
    <w:lvl w:ilvl="5" w:tplc="E2A2F224">
      <w:numFmt w:val="decimal"/>
      <w:lvlText w:val=""/>
      <w:lvlJc w:val="left"/>
    </w:lvl>
    <w:lvl w:ilvl="6" w:tplc="F280AB86">
      <w:numFmt w:val="decimal"/>
      <w:lvlText w:val=""/>
      <w:lvlJc w:val="left"/>
    </w:lvl>
    <w:lvl w:ilvl="7" w:tplc="9D345442">
      <w:numFmt w:val="decimal"/>
      <w:lvlText w:val=""/>
      <w:lvlJc w:val="left"/>
    </w:lvl>
    <w:lvl w:ilvl="8" w:tplc="BFE8B6C8">
      <w:numFmt w:val="decimal"/>
      <w:lvlText w:val=""/>
      <w:lvlJc w:val="left"/>
    </w:lvl>
  </w:abstractNum>
  <w:abstractNum w:abstractNumId="3" w15:restartNumberingAfterBreak="0">
    <w:nsid w:val="32965052"/>
    <w:multiLevelType w:val="hybridMultilevel"/>
    <w:tmpl w:val="2348E0D8"/>
    <w:lvl w:ilvl="0" w:tplc="6108E548">
      <w:start w:val="1"/>
      <w:numFmt w:val="decimal"/>
      <w:lvlText w:val="%1."/>
      <w:lvlJc w:val="left"/>
      <w:pPr>
        <w:ind w:left="480" w:hanging="240"/>
      </w:pPr>
    </w:lvl>
    <w:lvl w:ilvl="1" w:tplc="A03EEFA4">
      <w:numFmt w:val="decimal"/>
      <w:lvlText w:val=""/>
      <w:lvlJc w:val="left"/>
    </w:lvl>
    <w:lvl w:ilvl="2" w:tplc="20B2A37A">
      <w:numFmt w:val="decimal"/>
      <w:lvlText w:val=""/>
      <w:lvlJc w:val="left"/>
    </w:lvl>
    <w:lvl w:ilvl="3" w:tplc="0C5A1B72">
      <w:numFmt w:val="decimal"/>
      <w:lvlText w:val=""/>
      <w:lvlJc w:val="left"/>
    </w:lvl>
    <w:lvl w:ilvl="4" w:tplc="6B52CAF4">
      <w:numFmt w:val="decimal"/>
      <w:lvlText w:val=""/>
      <w:lvlJc w:val="left"/>
    </w:lvl>
    <w:lvl w:ilvl="5" w:tplc="68FABDD8">
      <w:numFmt w:val="decimal"/>
      <w:lvlText w:val=""/>
      <w:lvlJc w:val="left"/>
    </w:lvl>
    <w:lvl w:ilvl="6" w:tplc="9AB00114">
      <w:numFmt w:val="decimal"/>
      <w:lvlText w:val=""/>
      <w:lvlJc w:val="left"/>
    </w:lvl>
    <w:lvl w:ilvl="7" w:tplc="D5A004A2">
      <w:numFmt w:val="decimal"/>
      <w:lvlText w:val=""/>
      <w:lvlJc w:val="left"/>
    </w:lvl>
    <w:lvl w:ilvl="8" w:tplc="2E2CC768">
      <w:numFmt w:val="decimal"/>
      <w:lvlText w:val=""/>
      <w:lvlJc w:val="left"/>
    </w:lvl>
  </w:abstractNum>
  <w:abstractNum w:abstractNumId="4" w15:restartNumberingAfterBreak="0">
    <w:nsid w:val="344901EC"/>
    <w:multiLevelType w:val="hybridMultilevel"/>
    <w:tmpl w:val="E8BC317C"/>
    <w:lvl w:ilvl="0" w:tplc="C89A5F92">
      <w:start w:val="1"/>
      <w:numFmt w:val="decimal"/>
      <w:lvlText w:val="%1."/>
      <w:lvlJc w:val="left"/>
      <w:pPr>
        <w:ind w:left="480" w:hanging="240"/>
      </w:pPr>
    </w:lvl>
    <w:lvl w:ilvl="1" w:tplc="D5ACCA8A">
      <w:numFmt w:val="decimal"/>
      <w:lvlText w:val=""/>
      <w:lvlJc w:val="left"/>
    </w:lvl>
    <w:lvl w:ilvl="2" w:tplc="98E61756">
      <w:numFmt w:val="decimal"/>
      <w:lvlText w:val=""/>
      <w:lvlJc w:val="left"/>
    </w:lvl>
    <w:lvl w:ilvl="3" w:tplc="99D65300">
      <w:numFmt w:val="decimal"/>
      <w:lvlText w:val=""/>
      <w:lvlJc w:val="left"/>
    </w:lvl>
    <w:lvl w:ilvl="4" w:tplc="7C0A1540">
      <w:numFmt w:val="decimal"/>
      <w:lvlText w:val=""/>
      <w:lvlJc w:val="left"/>
    </w:lvl>
    <w:lvl w:ilvl="5" w:tplc="BE565C9C">
      <w:numFmt w:val="decimal"/>
      <w:lvlText w:val=""/>
      <w:lvlJc w:val="left"/>
    </w:lvl>
    <w:lvl w:ilvl="6" w:tplc="28B65AD6">
      <w:numFmt w:val="decimal"/>
      <w:lvlText w:val=""/>
      <w:lvlJc w:val="left"/>
    </w:lvl>
    <w:lvl w:ilvl="7" w:tplc="451A8770">
      <w:numFmt w:val="decimal"/>
      <w:lvlText w:val=""/>
      <w:lvlJc w:val="left"/>
    </w:lvl>
    <w:lvl w:ilvl="8" w:tplc="3464409E">
      <w:numFmt w:val="decimal"/>
      <w:lvlText w:val=""/>
      <w:lvlJc w:val="left"/>
    </w:lvl>
  </w:abstractNum>
  <w:abstractNum w:abstractNumId="5" w15:restartNumberingAfterBreak="0">
    <w:nsid w:val="345D1CD9"/>
    <w:multiLevelType w:val="hybridMultilevel"/>
    <w:tmpl w:val="E55E02FC"/>
    <w:lvl w:ilvl="0" w:tplc="F078EA60">
      <w:start w:val="1"/>
      <w:numFmt w:val="decimal"/>
      <w:lvlText w:val="%1."/>
      <w:lvlJc w:val="left"/>
      <w:pPr>
        <w:ind w:left="480" w:hanging="240"/>
      </w:pPr>
    </w:lvl>
    <w:lvl w:ilvl="1" w:tplc="2DDA8278">
      <w:numFmt w:val="decimal"/>
      <w:lvlText w:val=""/>
      <w:lvlJc w:val="left"/>
    </w:lvl>
    <w:lvl w:ilvl="2" w:tplc="BA8643F2">
      <w:numFmt w:val="decimal"/>
      <w:lvlText w:val=""/>
      <w:lvlJc w:val="left"/>
    </w:lvl>
    <w:lvl w:ilvl="3" w:tplc="14182C94">
      <w:numFmt w:val="decimal"/>
      <w:lvlText w:val=""/>
      <w:lvlJc w:val="left"/>
    </w:lvl>
    <w:lvl w:ilvl="4" w:tplc="74020ACE">
      <w:numFmt w:val="decimal"/>
      <w:lvlText w:val=""/>
      <w:lvlJc w:val="left"/>
    </w:lvl>
    <w:lvl w:ilvl="5" w:tplc="C05C263A">
      <w:numFmt w:val="decimal"/>
      <w:lvlText w:val=""/>
      <w:lvlJc w:val="left"/>
    </w:lvl>
    <w:lvl w:ilvl="6" w:tplc="F8741CC8">
      <w:numFmt w:val="decimal"/>
      <w:lvlText w:val=""/>
      <w:lvlJc w:val="left"/>
    </w:lvl>
    <w:lvl w:ilvl="7" w:tplc="962C9A9C">
      <w:numFmt w:val="decimal"/>
      <w:lvlText w:val=""/>
      <w:lvlJc w:val="left"/>
    </w:lvl>
    <w:lvl w:ilvl="8" w:tplc="E124E00A">
      <w:numFmt w:val="decimal"/>
      <w:lvlText w:val=""/>
      <w:lvlJc w:val="left"/>
    </w:lvl>
  </w:abstractNum>
  <w:abstractNum w:abstractNumId="6" w15:restartNumberingAfterBreak="0">
    <w:nsid w:val="41477159"/>
    <w:multiLevelType w:val="hybridMultilevel"/>
    <w:tmpl w:val="7A548CA0"/>
    <w:lvl w:ilvl="0" w:tplc="4ADC339A">
      <w:start w:val="1"/>
      <w:numFmt w:val="bullet"/>
      <w:lvlText w:val="●"/>
      <w:lvlJc w:val="left"/>
      <w:pPr>
        <w:ind w:left="720" w:hanging="360"/>
      </w:pPr>
    </w:lvl>
    <w:lvl w:ilvl="1" w:tplc="27F89C70">
      <w:start w:val="1"/>
      <w:numFmt w:val="bullet"/>
      <w:lvlText w:val="○"/>
      <w:lvlJc w:val="left"/>
      <w:pPr>
        <w:ind w:left="1440" w:hanging="360"/>
      </w:pPr>
    </w:lvl>
    <w:lvl w:ilvl="2" w:tplc="05029216">
      <w:start w:val="1"/>
      <w:numFmt w:val="bullet"/>
      <w:lvlText w:val="■"/>
      <w:lvlJc w:val="left"/>
      <w:pPr>
        <w:ind w:left="2160" w:hanging="360"/>
      </w:pPr>
    </w:lvl>
    <w:lvl w:ilvl="3" w:tplc="027E0ADA">
      <w:start w:val="1"/>
      <w:numFmt w:val="bullet"/>
      <w:lvlText w:val="●"/>
      <w:lvlJc w:val="left"/>
      <w:pPr>
        <w:ind w:left="2880" w:hanging="360"/>
      </w:pPr>
    </w:lvl>
    <w:lvl w:ilvl="4" w:tplc="C38090BA">
      <w:start w:val="1"/>
      <w:numFmt w:val="bullet"/>
      <w:lvlText w:val="○"/>
      <w:lvlJc w:val="left"/>
      <w:pPr>
        <w:ind w:left="3600" w:hanging="360"/>
      </w:pPr>
    </w:lvl>
    <w:lvl w:ilvl="5" w:tplc="C694D266">
      <w:start w:val="1"/>
      <w:numFmt w:val="bullet"/>
      <w:lvlText w:val="■"/>
      <w:lvlJc w:val="left"/>
      <w:pPr>
        <w:ind w:left="4320" w:hanging="360"/>
      </w:pPr>
    </w:lvl>
    <w:lvl w:ilvl="6" w:tplc="3A5AF416">
      <w:start w:val="1"/>
      <w:numFmt w:val="bullet"/>
      <w:lvlText w:val="●"/>
      <w:lvlJc w:val="left"/>
      <w:pPr>
        <w:ind w:left="5040" w:hanging="360"/>
      </w:pPr>
    </w:lvl>
    <w:lvl w:ilvl="7" w:tplc="8DE05CCE">
      <w:start w:val="1"/>
      <w:numFmt w:val="bullet"/>
      <w:lvlText w:val="●"/>
      <w:lvlJc w:val="left"/>
      <w:pPr>
        <w:ind w:left="5760" w:hanging="360"/>
      </w:pPr>
    </w:lvl>
    <w:lvl w:ilvl="8" w:tplc="C714DE22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5F90502E"/>
    <w:multiLevelType w:val="hybridMultilevel"/>
    <w:tmpl w:val="951AAB70"/>
    <w:lvl w:ilvl="0" w:tplc="91EA3EC0">
      <w:start w:val="1"/>
      <w:numFmt w:val="decimal"/>
      <w:lvlText w:val="%1."/>
      <w:lvlJc w:val="left"/>
      <w:pPr>
        <w:ind w:left="480" w:hanging="240"/>
      </w:pPr>
    </w:lvl>
    <w:lvl w:ilvl="1" w:tplc="D7568366">
      <w:numFmt w:val="decimal"/>
      <w:lvlText w:val=""/>
      <w:lvlJc w:val="left"/>
    </w:lvl>
    <w:lvl w:ilvl="2" w:tplc="6BFAB8DE">
      <w:numFmt w:val="decimal"/>
      <w:lvlText w:val=""/>
      <w:lvlJc w:val="left"/>
    </w:lvl>
    <w:lvl w:ilvl="3" w:tplc="B5F4DC84">
      <w:numFmt w:val="decimal"/>
      <w:lvlText w:val=""/>
      <w:lvlJc w:val="left"/>
    </w:lvl>
    <w:lvl w:ilvl="4" w:tplc="5E72D8A4">
      <w:numFmt w:val="decimal"/>
      <w:lvlText w:val=""/>
      <w:lvlJc w:val="left"/>
    </w:lvl>
    <w:lvl w:ilvl="5" w:tplc="C168508E">
      <w:numFmt w:val="decimal"/>
      <w:lvlText w:val=""/>
      <w:lvlJc w:val="left"/>
    </w:lvl>
    <w:lvl w:ilvl="6" w:tplc="A92A5C42">
      <w:numFmt w:val="decimal"/>
      <w:lvlText w:val=""/>
      <w:lvlJc w:val="left"/>
    </w:lvl>
    <w:lvl w:ilvl="7" w:tplc="C0621D10">
      <w:numFmt w:val="decimal"/>
      <w:lvlText w:val=""/>
      <w:lvlJc w:val="left"/>
    </w:lvl>
    <w:lvl w:ilvl="8" w:tplc="5A98E116">
      <w:numFmt w:val="decimal"/>
      <w:lvlText w:val=""/>
      <w:lvlJc w:val="left"/>
    </w:lvl>
  </w:abstractNum>
  <w:num w:numId="1" w16cid:durableId="85271028">
    <w:abstractNumId w:val="6"/>
    <w:lvlOverride w:ilvl="0">
      <w:startOverride w:val="1"/>
    </w:lvlOverride>
  </w:num>
  <w:num w:numId="2" w16cid:durableId="764154996">
    <w:abstractNumId w:val="0"/>
    <w:lvlOverride w:ilvl="0">
      <w:startOverride w:val="1"/>
    </w:lvlOverride>
  </w:num>
  <w:num w:numId="3" w16cid:durableId="1682465417">
    <w:abstractNumId w:val="7"/>
    <w:lvlOverride w:ilvl="0">
      <w:startOverride w:val="1"/>
    </w:lvlOverride>
  </w:num>
  <w:num w:numId="4" w16cid:durableId="1306357520">
    <w:abstractNumId w:val="4"/>
    <w:lvlOverride w:ilvl="0">
      <w:startOverride w:val="1"/>
    </w:lvlOverride>
  </w:num>
  <w:num w:numId="5" w16cid:durableId="1667323067">
    <w:abstractNumId w:val="1"/>
    <w:lvlOverride w:ilvl="0">
      <w:startOverride w:val="1"/>
    </w:lvlOverride>
  </w:num>
  <w:num w:numId="6" w16cid:durableId="1294214263">
    <w:abstractNumId w:val="5"/>
    <w:lvlOverride w:ilvl="0">
      <w:startOverride w:val="1"/>
    </w:lvlOverride>
  </w:num>
  <w:num w:numId="7" w16cid:durableId="1741710289">
    <w:abstractNumId w:val="2"/>
    <w:lvlOverride w:ilvl="0">
      <w:startOverride w:val="1"/>
    </w:lvlOverride>
  </w:num>
  <w:num w:numId="8" w16cid:durableId="17417102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C40"/>
    <w:rsid w:val="00076CCF"/>
    <w:rsid w:val="003503F3"/>
    <w:rsid w:val="004B588A"/>
    <w:rsid w:val="006342F4"/>
    <w:rsid w:val="009E36AE"/>
    <w:rsid w:val="00FD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TJ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058A81"/>
  <w15:docId w15:val="{A7C9C276-E880-944B-9F45-076943EB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TJ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5067</Words>
  <Characters>37502</Characters>
  <Application>Microsoft Office Word</Application>
  <DocSecurity>0</DocSecurity>
  <Lines>852</Lines>
  <Paragraphs>500</Paragraphs>
  <ScaleCrop>false</ScaleCrop>
  <Company/>
  <LinksUpToDate>false</LinksUpToDate>
  <CharactersWithSpaces>42069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Шиндяпин Сергей</cp:lastModifiedBy>
  <cp:revision>3</cp:revision>
  <dcterms:created xsi:type="dcterms:W3CDTF">2026-09-07T06:19:00Z</dcterms:created>
  <dcterms:modified xsi:type="dcterms:W3CDTF">2026-09-21T07:08:00Z</dcterms:modified>
</cp:coreProperties>
</file>